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eastAsia="宋体"/>
          <w:b/>
          <w:sz w:val="28"/>
          <w:szCs w:val="28"/>
        </w:rPr>
      </w:pPr>
    </w:p>
    <w:p>
      <w:pPr>
        <w:spacing w:line="600" w:lineRule="exact"/>
        <w:ind w:firstLine="442" w:firstLineChars="100"/>
        <w:jc w:val="both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大亚湾开发区巡游出租车运价调整方案</w:t>
      </w:r>
    </w:p>
    <w:p>
      <w:pPr>
        <w:pStyle w:val="3"/>
        <w:spacing w:line="600" w:lineRule="exact"/>
        <w:ind w:left="0" w:leftChars="0" w:right="0" w:rightChars="0" w:firstLine="0" w:firstLineChars="0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</w:t>
      </w:r>
      <w:r>
        <w:rPr>
          <w:rFonts w:hint="eastAsia" w:ascii="宋体" w:hAnsi="宋体" w:eastAsia="宋体" w:cs="宋体"/>
          <w:kern w:val="0"/>
          <w:sz w:val="28"/>
          <w:szCs w:val="28"/>
        </w:rPr>
        <w:t>《国务院办公厅关于深化改革推进出租汽车行业健康发展的指导意见》（国办发〔2016〕58号）等文件要求，为促进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大亚湾区</w:t>
      </w:r>
      <w:r>
        <w:rPr>
          <w:rFonts w:hint="eastAsia" w:ascii="宋体" w:hAnsi="宋体" w:eastAsia="宋体" w:cs="宋体"/>
          <w:kern w:val="0"/>
          <w:sz w:val="28"/>
          <w:szCs w:val="28"/>
        </w:rPr>
        <w:t>出租汽车行业健康发展，满足人民群众出行的需求，拟对巡游出租汽车（简称“巡游车”）运价及结构进行调整优化。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一、惠州市大亚湾经济技术开发区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车市场基本情况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行业规模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和运营情况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惠州市大亚湾经济技术开发区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车企业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家，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2020年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从业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人员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全年加权平均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约85.33人，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巡游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总车辆数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80辆，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其中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油气两用车即汽油/CNG（压缩天然气）30辆，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纯电动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车50辆。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营运车辆全年加权平均约64.25辆，停运车辆全年加权平均约15.75辆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捷达、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比亚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迪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等车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型。巡游车单车日均营运里程227公里，单车日均载客里程126.07公里，单车日均载客次数10次，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每次平均运距约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12.50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2" w:firstLineChars="20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表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1：大亚湾巡游车车型情况表</w:t>
      </w:r>
    </w:p>
    <w:tbl>
      <w:tblPr>
        <w:tblStyle w:val="8"/>
        <w:tblW w:w="9161" w:type="dxa"/>
        <w:tblInd w:w="-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2531"/>
        <w:gridCol w:w="2170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企业                  车型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捷达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比亚迪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合计（辆）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三维交通公司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宝通运输公司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合   计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）现行运价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水平和结构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大亚湾经济技术开发区现行标准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具体运价结构如下：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</w:pPr>
    </w:p>
    <w:p>
      <w:pPr>
        <w:spacing w:line="600" w:lineRule="exact"/>
        <w:ind w:firstLine="562" w:firstLineChars="20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GB" w:eastAsia="zh-CN"/>
        </w:rPr>
        <w:t>表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2：大亚湾经济技术开发区现行运价</w:t>
      </w:r>
    </w:p>
    <w:tbl>
      <w:tblPr>
        <w:tblStyle w:val="8"/>
        <w:tblW w:w="9165" w:type="dxa"/>
        <w:tblInd w:w="-4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424"/>
        <w:gridCol w:w="1170"/>
        <w:gridCol w:w="1260"/>
        <w:gridCol w:w="2175"/>
        <w:gridCol w:w="1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类型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起步价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公里运价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等候费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夜间补贴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返空费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巡游出租车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7元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/1.8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2.4元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0.5元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分钟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22时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分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-5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时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分，公里运价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+20%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，即公里运价提高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0.48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元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超过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公里后，公里运价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+30%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，即公里运价提高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0.72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元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公里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成本监审情况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企业收入与成本：大亚湾经济技术开发区巡游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车运营模式采取企业经营，司机承包的模式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企业收入主要是承包费。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根据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企业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与司机签订的承包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承包费情况为，油气两用巡游车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4691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元/车.月，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纯电动巡游车5047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元/车.月。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2018年-2020年巡游车企业承包制车辆月均单车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收入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分别为3,167.59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元、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2,743.14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元、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2,820.83元，三年平均为2,915.20元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2018年至2020年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企业月均单车总成本分别为4,178.47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 w:eastAsia="zh-CN"/>
        </w:rPr>
        <w:t>元、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3,650.66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 w:eastAsia="zh-CN"/>
        </w:rPr>
        <w:t>元、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3,886.78元，三年平均为3,914.17元。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司机收入与成本：司机月平均营业收入约11,462.22元，油气车司机月平均承包费4,691.00元/车，以及需要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承担的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燃料费、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轮胎、维修保养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、路桥费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费用支出约3,960.94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即司机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净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收入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约2,810.28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/月。纯电车司机月平均承包费5,047.00元/车，以及需要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承担的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燃料费、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轮胎、维修保养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、路桥费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费用支出约2,228.35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即司机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 w:eastAsia="zh-CN"/>
        </w:rPr>
        <w:t>净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收入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约4,186.87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GB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/月。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二、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现行巡游车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存在的问题分析</w:t>
      </w:r>
    </w:p>
    <w:p>
      <w:pPr>
        <w:numPr>
          <w:ilvl w:val="0"/>
          <w:numId w:val="2"/>
        </w:numPr>
        <w:spacing w:line="600" w:lineRule="exact"/>
        <w:ind w:left="0" w:leftChars="0" w:firstLine="420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车运营成本、收入发生变化，司机收益下降。近年来，巡游车油改气、油改电，对比燃油成本，大幅降低了动力支出，但CNG价格也不断上涨，价格优势不太明显，人员工资、社保、车辆保费等成本大幅上涨。由于上次调价是在2012年，在此期间工资、社保等发生很大变化，成本上涨幅度较大。另一方面，受私家车、网约车增加的影响，巡游车载客次数、实载率下降，营业收入也不断下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20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巡游车行业发展受困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难以保障市民出行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巡游车作为城市公共交通的补充，是春节等重大节假日及应急任务时期运力的有效保障，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也为市民提供更多的出行选择。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巡游车运价水平对大亚湾经济技术开发区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出租汽车价格能起到标杆作用，有利于稳定出租汽车价格水平。目前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巡游车受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网约车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冲击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影响，行业陷于困境，司机收益下降，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企业出现有车无人开的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情况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企业采取大幅度降低承包费，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甚至亏本发包，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无法招到司机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行业面临的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危机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不但难以保障运力的有效供给，将导致市场竞争环境发生变化，乘客利益受损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的依据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和原则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针对巡游车目前存在的问题，为了促进该行业稳定、健康发展，为市民出行提供个性化服务，拟对惠州市大亚湾经济技术开发区巡游车运价作适当调整。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（一）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政策依据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1、《广东省定价目录（2018版）》（粤府办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〔201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）；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《中共中央 国务院关于推进价格机制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的若干意见》（中发〔2015〕28号）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《国务院办公厅关于深化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推进出租汽车行业健康发展的指导意见》（国办发〔2016〕58号）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《中共广东省委 广东省人民政府关于推进价格机制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的实施意见》（粤发〔2016〕16号）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spacing w:line="600" w:lineRule="exact"/>
        <w:ind w:firstLine="56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惠州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深化调整推进出租汽车行业健康发展工作方案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》（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办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〔2016〕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5号）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（二）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的基本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原则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1、科学合理的原则。根据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行业经营成本、市场供求关系、社会承受能力、功能定位等因素，合理调整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运价，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使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运价水平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经济社会发展水平相适应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2、统筹兼顾的原则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统筹公共交通与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统筹新老业态发展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统筹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巡游车企业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、司机及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乘客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利益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，通过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调整运价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，使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巡游车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GB"/>
        </w:rPr>
        <w:t>运价水平调整到相对合理状态。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健康发展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的原则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从有利于行业健康发展的角度出发，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通过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运价，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保障巡游车市场的供给，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提高巡游车的服务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质量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减轻市场环境变化对巡游车行业造成的影响，促进行业持续健康发展。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四、具体方案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（一）运价调整方案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方案一：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1、调整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起步价：将二类车现行起步价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7元/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1.8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8元/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运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价：将二类车现行的公里价2.40元/公里调整为2.60元/公里。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3、增设重大节日附加费。春节期间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除夕至年初六，共7天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）营运当天（0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24时）每车次向乘客加收5元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春节期间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附加费。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调整起步价外的跳表计价单位，由0.5元跳表调整为1元跳表。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为了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方便乘客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找零，避免司乘之间因为零钱产生矛盾，将公里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运价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（含返程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夜间附加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）和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等候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费每次跳表0.5元调整为每次跳表1元（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如现行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0.5元/208米调整为1元/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384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米；0.5元/分钟调整为1元/2分钟）。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夜间补贴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返空费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等候费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仍按原标准执行。即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夜间补贴：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夜间2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: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30分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至凌晨5:30时超过起步里程后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公里运价基础上提高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0%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返空费：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载客里程超过1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公里后在公里运价基础上提高30%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方案二：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1、调整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起步价：将二类车现行起步价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由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7元/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1.8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元/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调整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公里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运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价：将二类车现行的公里价2.40元/公里调整为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0元/公里。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3、增设重大节日附加费、调整跳表计价单位、其他收费标准不变与方案一相同。</w:t>
      </w:r>
    </w:p>
    <w:p>
      <w:pPr>
        <w:spacing w:line="600" w:lineRule="exact"/>
        <w:ind w:firstLine="562" w:firstLineChars="20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表3：运价调整方案对比表</w:t>
      </w:r>
    </w:p>
    <w:tbl>
      <w:tblPr>
        <w:tblStyle w:val="9"/>
        <w:tblW w:w="80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3186"/>
        <w:gridCol w:w="1593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运价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结构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原运价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方案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方案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起步价/起步里程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公里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公里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公里运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价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元/公里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2.6元/公里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元/公里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重大节日附加费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5元/运次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调整跳表计价单位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0.5元跳表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1元跳表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等候费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0.5元/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分钟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按原标准执行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1元/2分钟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夜间补贴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30分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-5时30分，公里运价+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0%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00分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-5时30分，公里运价+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返空费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超过1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公里后，公里运价+30%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超过1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公里后，公里运价+30%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8028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本次运价调整不执行浮动，按公布的基准运价执行；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方案中的起步价、里程价已含燃油附加费，不另外加收；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夜间时段为2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0-次日5: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shd w:val="clear" w:color="auto" w:fill="FFFFFF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运价改革方案影响测算</w:t>
      </w:r>
      <w:bookmarkStart w:id="0" w:name="_GoBack"/>
      <w:bookmarkEnd w:id="0"/>
    </w:p>
    <w:p>
      <w:pPr>
        <w:spacing w:line="600" w:lineRule="exact"/>
        <w:ind w:firstLine="560" w:firstLineChars="200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/>
        </w:rPr>
        <w:t>据调查，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大亚湾出租车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/>
        </w:rPr>
        <w:t>平均运距约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12.50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/>
        </w:rPr>
        <w:t>公里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司机月平均营业收入约11,462.22元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/>
        </w:rPr>
        <w:t>。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以下以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GB" w:eastAsia="zh-CN"/>
        </w:rPr>
        <w:t>短途运距（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以6公里为例）、中途运距（以13公里为例）、长途运距（以25公里为例），对两个方案进行分析：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对短程运距运价的影响</w:t>
      </w:r>
    </w:p>
    <w:p>
      <w:pPr>
        <w:spacing w:line="60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以巡游车短程载客里程为6公里，分别对两个方案进行影响分析。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lang w:val="en-US" w:eastAsia="zh-CN"/>
        </w:rPr>
      </w:pPr>
    </w:p>
    <w:tbl>
      <w:tblPr>
        <w:tblStyle w:val="8"/>
        <w:tblW w:w="834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4"/>
        <w:gridCol w:w="1485"/>
        <w:gridCol w:w="1485"/>
        <w:gridCol w:w="1571"/>
        <w:gridCol w:w="148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4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短途（6KM）方案1、方案2影响测算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影响内容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方案1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乘客每运次平均增加运费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1.32元/运次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1.38元/运次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1.72元/运次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1.86元/运次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整体运价水平平均提高幅度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7.73%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7.23%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10.07%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9.74%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4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备注：以上为静态测算，即以全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客运需求的数量与结构保持不变为前提，事实上，随着运价的调整和市场竞争的变化，巡游车的需求会发生相应变化，或被抑制，或被转移，或被激发，因此司机营收增加、乘客增加的运费等结果只能作为参考。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对中程运距运价的影响</w:t>
      </w:r>
    </w:p>
    <w:p>
      <w:pPr>
        <w:spacing w:line="60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以巡游车中程载客里程为13公里，分别对两个方案进行影响分析。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val="en-US" w:eastAsia="zh-CN"/>
        </w:rPr>
      </w:pPr>
    </w:p>
    <w:tbl>
      <w:tblPr>
        <w:tblStyle w:val="8"/>
        <w:tblW w:w="834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5"/>
        <w:gridCol w:w="1504"/>
        <w:gridCol w:w="1504"/>
        <w:gridCol w:w="1504"/>
        <w:gridCol w:w="15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4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中途（13KM）方案1、方案2影响测算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影响内容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方案1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乘客每运次平均增加运费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3.03元/运次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整体运价水平平均提高幅度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6.85%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7.32%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4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备注：以上为静态测算，即以全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客运需求的数量与结构保持不变为前提，事实上，随着运价的调整和市场竞争的变化，巡游车的需求会发生相应变化，或被抑制，或被转移，或被激发，因此司机营收增加、乘客增加的运费等结果只能作为参考。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对长程运距运价的影响</w:t>
      </w:r>
    </w:p>
    <w:p>
      <w:pPr>
        <w:spacing w:line="60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/>
        </w:rPr>
        <w:t>以巡游车长程载客里程为25公里，分别对两个方案进行影响分析。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lang w:val="en-US" w:eastAsia="zh-CN"/>
        </w:rPr>
      </w:pPr>
    </w:p>
    <w:tbl>
      <w:tblPr>
        <w:tblStyle w:val="8"/>
        <w:tblW w:w="834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5"/>
        <w:gridCol w:w="1504"/>
        <w:gridCol w:w="1504"/>
        <w:gridCol w:w="1504"/>
        <w:gridCol w:w="15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4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长途（25KM）方案1、方案2影响测算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影响内容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方案1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方案2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乘客每运次平均增加运费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4.46元/运次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7.15元/运次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8.43元/运次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整体运价水平平均提高幅度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6.07%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9.73%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9.96%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4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备注：以上为静态测算，即以全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客运需求的数量与结构保持不变为前提，事实上，随着运价的调整和市场竞争的变化，巡游车的需求会发生相应变化，或被抑制，或被转移，或被激发，因此司机营收增加、乘客增加的运费等结果只能作为参考。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-SA"/>
        </w:rPr>
        <w:t>综上，两个方案对运价调升幅度不大，乘客每次多支付费用较少，相对而言，短途运距运价和长途调幅较大，中途运距运价幅较小，一方面提高司机积极性，有效减少司机拒载短途额现象，另一方面通过长途客增加司机收入（长途客对出行服务的特定需求，对价格敏感度相对较低）。每次出租车服务运距是动态的，产生的运费不同，本次运价调整，在载客次数及距离等条件不变情况下，估算方案一综合平均运价调升约5.84%，则司机营收平均增加约669.39元/月，方案二综合平均运价调升约8.95%，则司机营收平均增加约1025.87元/月。</w:t>
      </w:r>
    </w:p>
    <w:p>
      <w:pPr>
        <w:spacing w:line="580" w:lineRule="exact"/>
        <w:ind w:right="420" w:firstLine="714" w:firstLineChars="255"/>
        <w:jc w:val="right"/>
        <w:rPr>
          <w:rFonts w:ascii="宋体" w:hAnsi="宋体" w:eastAsia="宋体"/>
          <w:sz w:val="28"/>
          <w:szCs w:val="28"/>
        </w:rPr>
      </w:pPr>
    </w:p>
    <w:p>
      <w:pPr>
        <w:pStyle w:val="2"/>
        <w:rPr>
          <w:rFonts w:ascii="宋体" w:hAnsi="宋体" w:eastAsia="宋体"/>
          <w:sz w:val="28"/>
          <w:szCs w:val="28"/>
        </w:rPr>
      </w:pPr>
    </w:p>
    <w:p/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大亚湾工贸局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2021年10月14日</w:t>
      </w:r>
    </w:p>
    <w:sectPr>
      <w:headerReference r:id="rId3" w:type="default"/>
      <w:footerReference r:id="rId4" w:type="default"/>
      <w:pgSz w:w="11906" w:h="16838"/>
      <w:pgMar w:top="1440" w:right="1514" w:bottom="1440" w:left="208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Style w:val="7"/>
        <w:rFonts w:hint="eastAsia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3</w:t>
    </w:r>
    <w:r>
      <w:fldChar w:fldCharType="end"/>
    </w:r>
    <w:r>
      <w:rPr>
        <w:rStyle w:val="7"/>
        <w:rFonts w:hint="eastAsia"/>
      </w:rPr>
      <w:t>页共</w:t>
    </w:r>
    <w:r>
      <w:fldChar w:fldCharType="begin"/>
    </w:r>
    <w:r>
      <w:rPr>
        <w:rStyle w:val="7"/>
      </w:rPr>
      <w:instrText xml:space="preserve"> NUMPAGES </w:instrText>
    </w:r>
    <w:r>
      <w:fldChar w:fldCharType="separate"/>
    </w:r>
    <w:r>
      <w:rPr>
        <w:rStyle w:val="7"/>
      </w:rPr>
      <w:t>14</w:t>
    </w:r>
    <w: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7CD455"/>
    <w:multiLevelType w:val="singleLevel"/>
    <w:tmpl w:val="AA7CD45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9CB72DD"/>
    <w:multiLevelType w:val="singleLevel"/>
    <w:tmpl w:val="B9CB72DD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/>
      </w:rPr>
    </w:lvl>
  </w:abstractNum>
  <w:abstractNum w:abstractNumId="2">
    <w:nsid w:val="00000000"/>
    <w:multiLevelType w:val="singleLevel"/>
    <w:tmpl w:val="0000000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0000001"/>
    <w:multiLevelType w:val="singleLevel"/>
    <w:tmpl w:val="0000000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00000002"/>
    <w:multiLevelType w:val="singleLevel"/>
    <w:tmpl w:val="00000002"/>
    <w:lvl w:ilvl="0" w:tentative="0">
      <w:start w:val="1"/>
      <w:numFmt w:val="decimal"/>
      <w:suff w:val="nothing"/>
      <w:lvlText w:val="%1."/>
      <w:lvlJc w:val="left"/>
      <w:rPr>
        <w:rFonts w:hint="default" w:ascii="宋体" w:hAnsi="宋体" w:eastAsia="宋体" w:cs="宋体"/>
        <w:sz w:val="18"/>
        <w:szCs w:val="18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20ABA"/>
    <w:rsid w:val="0AE472EA"/>
    <w:rsid w:val="0B643187"/>
    <w:rsid w:val="115F16B4"/>
    <w:rsid w:val="19B03729"/>
    <w:rsid w:val="22D54D6B"/>
    <w:rsid w:val="249345AE"/>
    <w:rsid w:val="2D7E6908"/>
    <w:rsid w:val="311B4241"/>
    <w:rsid w:val="49C52ACB"/>
    <w:rsid w:val="65297AC9"/>
    <w:rsid w:val="731E260D"/>
    <w:rsid w:val="7577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8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</w:style>
  <w:style w:type="paragraph" w:styleId="3">
    <w:name w:val="Block Text"/>
    <w:basedOn w:val="1"/>
    <w:qFormat/>
    <w:uiPriority w:val="0"/>
    <w:pPr>
      <w:spacing w:line="480" w:lineRule="auto"/>
      <w:ind w:left="-365" w:leftChars="-174" w:right="-359" w:rightChars="-171" w:firstLine="725"/>
    </w:pPr>
    <w:rPr>
      <w:rFonts w:eastAsia="楷体_GB2312"/>
      <w:color w:val="000000"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font4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paragraph" w:customStyle="1" w:styleId="11">
    <w:name w:val="正文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1</Pages>
  <Words>2765</Words>
  <Characters>3152</Characters>
  <Paragraphs>165</Paragraphs>
  <TotalTime>10</TotalTime>
  <ScaleCrop>false</ScaleCrop>
  <LinksUpToDate>false</LinksUpToDate>
  <CharactersWithSpaces>3262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2021-10-14T01:52:00Z</dcterms:created>
  <dc:creator>李穗冰</dc:creator>
  <cp:lastModifiedBy>李穗冰</cp:lastModifiedBy>
  <dcterms:modified xsi:type="dcterms:W3CDTF">2021-10-19T08:26:05Z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ICV">
    <vt:lpwstr>2789A2E66BC74A40836B5F3B75F00C52</vt:lpwstr>
  </property>
</Properties>
</file>