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76" w:lineRule="exact"/>
        <w:jc w:val="both"/>
        <w:rPr>
          <w:rFonts w:hint="eastAsia" w:ascii="黑体" w:hAnsi="黑体" w:eastAsia="黑体"/>
          <w:bCs/>
          <w:color w:val="000000"/>
          <w:lang w:val="en-US" w:eastAsia="zh-CN"/>
        </w:rPr>
      </w:pPr>
      <w:r>
        <w:rPr>
          <w:rFonts w:hint="eastAsia" w:ascii="方正仿宋_GBK" w:hAnsi="方正仿宋_GBK" w:eastAsia="方正仿宋_GBK" w:cs="方正仿宋_GBK"/>
          <w:bCs/>
          <w:color w:val="000000"/>
          <w:sz w:val="32"/>
          <w:szCs w:val="32"/>
        </w:rPr>
        <w:t>附件</w:t>
      </w:r>
      <w:r>
        <w:rPr>
          <w:rFonts w:hint="default" w:ascii="Times New Roman" w:hAnsi="Times New Roman" w:eastAsia="方正仿宋_GBK" w:cs="Times New Roman"/>
          <w:bCs/>
          <w:color w:val="000000"/>
          <w:sz w:val="32"/>
          <w:szCs w:val="32"/>
          <w:lang w:val="en-US" w:eastAsia="zh-CN"/>
        </w:rPr>
        <w:t>2</w:t>
      </w:r>
      <w:r>
        <w:rPr>
          <w:rFonts w:hint="eastAsia" w:ascii="方正仿宋_GBK" w:hAnsi="方正仿宋_GBK" w:eastAsia="方正仿宋_GBK" w:cs="方正仿宋_GBK"/>
          <w:bCs/>
          <w:color w:val="000000"/>
          <w:sz w:val="32"/>
          <w:szCs w:val="32"/>
          <w:lang w:val="en-US" w:eastAsia="zh-CN"/>
        </w:rPr>
        <w:t xml:space="preserve"> </w:t>
      </w:r>
      <w:r>
        <w:rPr>
          <w:rFonts w:hint="eastAsia" w:ascii="黑体" w:hAnsi="黑体" w:eastAsia="黑体"/>
          <w:bCs/>
          <w:color w:val="000000"/>
          <w:lang w:val="en-US" w:eastAsia="zh-CN"/>
        </w:rPr>
        <w:t xml:space="preserve"> </w:t>
      </w:r>
    </w:p>
    <w:p>
      <w:pPr>
        <w:adjustRightInd w:val="0"/>
        <w:snapToGrid w:val="0"/>
        <w:spacing w:line="576" w:lineRule="exact"/>
        <w:jc w:val="center"/>
        <w:rPr>
          <w:rFonts w:ascii="黑体" w:hAnsi="黑体" w:eastAsia="黑体"/>
          <w:bCs/>
          <w:color w:val="000000"/>
        </w:rPr>
      </w:pPr>
      <w:bookmarkStart w:id="0" w:name="_GoBack"/>
      <w:r>
        <w:rPr>
          <w:rFonts w:hint="eastAsia" w:ascii="方正小标宋简体" w:hAnsi="方正小标宋简体" w:eastAsia="方正小标宋简体" w:cs="方正小标宋简体"/>
          <w:color w:val="000000"/>
          <w:sz w:val="32"/>
          <w:szCs w:val="32"/>
        </w:rPr>
        <w:t>村级事务清单</w:t>
      </w:r>
    </w:p>
    <w:bookmarkEnd w:id="0"/>
    <w:p>
      <w:pPr>
        <w:numPr>
          <w:ilvl w:val="0"/>
          <w:numId w:val="0"/>
        </w:numPr>
        <w:adjustRightInd w:val="0"/>
        <w:snapToGrid w:val="0"/>
        <w:spacing w:line="576" w:lineRule="exact"/>
        <w:jc w:val="center"/>
        <w:rPr>
          <w:rFonts w:hint="eastAsia" w:ascii="楷体_GB2312" w:hAnsi="楷体_GB2312" w:eastAsia="楷体_GB2312" w:cs="楷体_GB2312"/>
          <w:b/>
          <w:bCs w:val="0"/>
          <w:color w:val="000000"/>
        </w:rPr>
      </w:pPr>
      <w:r>
        <w:rPr>
          <w:rFonts w:hint="eastAsia" w:ascii="楷体_GB2312" w:hAnsi="楷体_GB2312" w:eastAsia="楷体_GB2312" w:cs="楷体_GB2312"/>
          <w:b/>
          <w:bCs w:val="0"/>
          <w:color w:val="000000"/>
          <w:lang w:eastAsia="zh-CN"/>
        </w:rPr>
        <w:t>（一）</w:t>
      </w:r>
      <w:r>
        <w:rPr>
          <w:rFonts w:hint="eastAsia" w:ascii="楷体_GB2312" w:hAnsi="楷体_GB2312" w:eastAsia="楷体_GB2312" w:cs="楷体_GB2312"/>
          <w:b/>
          <w:bCs w:val="0"/>
          <w:color w:val="000000"/>
        </w:rPr>
        <w:t>村民委员会群众自治工作职责事项</w:t>
      </w:r>
    </w:p>
    <w:p>
      <w:pPr>
        <w:pStyle w:val="3"/>
        <w:numPr>
          <w:ilvl w:val="0"/>
          <w:numId w:val="0"/>
        </w:numPr>
      </w:pPr>
    </w:p>
    <w:tbl>
      <w:tblPr>
        <w:tblStyle w:val="5"/>
        <w:tblpPr w:leftFromText="180" w:rightFromText="180" w:vertAnchor="text" w:tblpX="1" w:tblpY="1"/>
        <w:tblOverlap w:val="never"/>
        <w:tblW w:w="136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28" w:type="dxa"/>
          <w:bottom w:w="85" w:type="dxa"/>
          <w:right w:w="28" w:type="dxa"/>
        </w:tblCellMar>
      </w:tblPr>
      <w:tblGrid>
        <w:gridCol w:w="652"/>
        <w:gridCol w:w="1186"/>
        <w:gridCol w:w="6521"/>
        <w:gridCol w:w="5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blHeader/>
        </w:trPr>
        <w:tc>
          <w:tcPr>
            <w:tcW w:w="652" w:type="dxa"/>
            <w:noWrap w:val="0"/>
            <w:vAlign w:val="center"/>
          </w:tcPr>
          <w:p>
            <w:pPr>
              <w:adjustRightInd w:val="0"/>
              <w:snapToGrid w:val="0"/>
              <w:spacing w:line="320" w:lineRule="exact"/>
              <w:jc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sz w:val="28"/>
                <w:szCs w:val="28"/>
              </w:rPr>
              <w:t>序号</w:t>
            </w:r>
          </w:p>
        </w:tc>
        <w:tc>
          <w:tcPr>
            <w:tcW w:w="1186" w:type="dxa"/>
            <w:noWrap w:val="0"/>
            <w:vAlign w:val="center"/>
          </w:tcPr>
          <w:p>
            <w:pPr>
              <w:adjustRightInd w:val="0"/>
              <w:snapToGrid w:val="0"/>
              <w:spacing w:line="320" w:lineRule="exact"/>
              <w:jc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sz w:val="28"/>
                <w:szCs w:val="28"/>
              </w:rPr>
              <w:t>类别</w:t>
            </w:r>
          </w:p>
        </w:tc>
        <w:tc>
          <w:tcPr>
            <w:tcW w:w="6521" w:type="dxa"/>
            <w:noWrap w:val="0"/>
            <w:vAlign w:val="center"/>
          </w:tcPr>
          <w:p>
            <w:pPr>
              <w:adjustRightInd w:val="0"/>
              <w:snapToGrid w:val="0"/>
              <w:spacing w:line="320" w:lineRule="exact"/>
              <w:ind w:firstLine="480"/>
              <w:jc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sz w:val="28"/>
                <w:szCs w:val="28"/>
              </w:rPr>
              <w:t>事项内容</w:t>
            </w:r>
          </w:p>
        </w:tc>
        <w:tc>
          <w:tcPr>
            <w:tcW w:w="5334" w:type="dxa"/>
            <w:noWrap w:val="0"/>
            <w:vAlign w:val="center"/>
          </w:tcPr>
          <w:p>
            <w:pPr>
              <w:adjustRightInd w:val="0"/>
              <w:snapToGrid w:val="0"/>
              <w:spacing w:line="320" w:lineRule="exact"/>
              <w:ind w:firstLine="480"/>
              <w:jc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sz w:val="28"/>
                <w:szCs w:val="28"/>
              </w:rPr>
              <w:t xml:space="preserve"> 法律法规规章依据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538"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w:t>
            </w:r>
          </w:p>
        </w:tc>
        <w:tc>
          <w:tcPr>
            <w:tcW w:w="118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both"/>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加强</w:t>
            </w:r>
          </w:p>
          <w:p>
            <w:pPr>
              <w:keepNext w:val="0"/>
              <w:keepLines w:val="0"/>
              <w:pageBreakBefore w:val="0"/>
              <w:widowControl w:val="0"/>
              <w:kinsoku/>
              <w:wordWrap/>
              <w:overflowPunct/>
              <w:topLinePunct w:val="0"/>
              <w:autoSpaceDE/>
              <w:autoSpaceDN/>
              <w:bidi w:val="0"/>
              <w:adjustRightInd/>
              <w:snapToGrid/>
              <w:spacing w:line="280" w:lineRule="exact"/>
              <w:ind w:firstLine="210" w:firstLineChars="100"/>
              <w:jc w:val="both"/>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机构建设</w:t>
            </w: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rPr>
              <w:t>提出村民委员会成员的具体职数方案并提交村民会议或者村民代表会议或村党群联席会议讨论审议；发扬民主，实行少数服从多数的民主决策机制和公开透明的工作原则，建立健全各种工作制度；建立印章使用的审批、登记、备案、移交制度</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29条，《广东省实施&lt;中华人民共和国村民委员会组织法&gt;办法》第31条、第39条，《广东省村民委员会选举办法》第2条，《关于进一步规范实施村（社区）班子联席会议制度和党群联席会议制度的通知》（粤委基层治理办〔2015〕2号）</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094"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2</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根据需要设立人民调解、治安保卫、公共卫生与计划生育等村民委员会下属委员会，负责人民调解、治安保卫、公共卫生、经济管理、计划生育、公共福利、群众文体等工作</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《中华人民共和国宪法》第111条，《中华人民共和国村民委员会组织法》第7条，《广东省实施&lt;中华人民共和国村民委员会组织法&gt;办法》第8条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316"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3</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在村党组织的领导下，支持和配合在村成立村务监督委员会，并支持和配合其开展村民民主理财，监督村务公开等工作</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《中华人民共和国村民委员会组织法》第32条，《广东省实施&lt;中华人民共和国村民委员会组织法&gt;办法》第34条，《关于建立健全村务监督委员会的指导意见》（中办发〔2017〕67号）</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123"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4</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村民委员会根据村民居住状况、集体土地所有权关系等分设村民小组，并领导村民小组开展工作；村民小组的设立、撤销、更名、范围调整，由村民委员会召集相关村民小组会议讨论后提出；督促村民小组实行组务公开</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《广东省实施&lt;中华人民共和国村民委员会组织法&gt;办法》第12条、第32条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59"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5</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118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建立</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工作制度</w:t>
            </w: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组织制定和修改本村村民自治章程、村规民约</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《广东省实施&lt;中华人民共和国村民委员会组织法&gt;办法》第24条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524"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6</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建立印章使用的审批、登记、备案、移交制度</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29条，《广东省实施&lt;中华人民共和国村民委员会组织法&gt;办法》第31条、第39条，《关于进一步规范实施村（社区）班子联席会议制度和党群联席会议制度的通知》（粤委基层治理办〔2015〕2号）</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39"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7</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建立民主理财制度，报账报销审批制度，规范管理政府拨款和捐赠资金，在银行开设基本账户，定期向村民会议或者村民代表会议报告财务收支情况</w:t>
            </w:r>
            <w:r>
              <w:rPr>
                <w:rFonts w:hint="default" w:ascii="Times New Roman" w:hAnsi="Times New Roman" w:eastAsia="方正仿宋_GBK" w:cs="Times New Roman"/>
                <w:color w:val="00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644"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8</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建立村务公开制度，设置村务公开栏、村务公开电子信息平台等</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《广东省实施&lt;中华人民共和国村民委员会组织法&gt;办法》第32条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674"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9</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建立完善村务档案管理制度</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《广东省实施&lt;中华人民共和国村民委员会组织法&gt;办法》第40条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49"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10</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建立</w:t>
            </w:r>
            <w:r>
              <w:rPr>
                <w:rFonts w:hint="eastAsia" w:ascii="Times New Roman" w:hAnsi="Times New Roman" w:eastAsia="方正仿宋_GBK" w:cs="Times New Roman"/>
                <w:color w:val="000000"/>
                <w:sz w:val="21"/>
                <w:szCs w:val="21"/>
                <w:lang w:eastAsia="zh-CN"/>
              </w:rPr>
              <w:t>“</w:t>
            </w:r>
            <w:r>
              <w:rPr>
                <w:rFonts w:hint="default" w:ascii="Times New Roman" w:hAnsi="Times New Roman" w:eastAsia="方正仿宋_GBK" w:cs="Times New Roman"/>
                <w:color w:val="000000"/>
                <w:sz w:val="21"/>
                <w:szCs w:val="21"/>
              </w:rPr>
              <w:t>三资</w:t>
            </w:r>
            <w:r>
              <w:rPr>
                <w:rFonts w:hint="eastAsia" w:ascii="Times New Roman" w:hAnsi="Times New Roman" w:eastAsia="方正仿宋_GBK" w:cs="Times New Roman"/>
                <w:color w:val="000000"/>
                <w:sz w:val="21"/>
                <w:szCs w:val="21"/>
                <w:lang w:eastAsia="zh-CN"/>
              </w:rPr>
              <w:t>”</w:t>
            </w:r>
            <w:r>
              <w:rPr>
                <w:rFonts w:hint="default" w:ascii="Times New Roman" w:hAnsi="Times New Roman" w:eastAsia="方正仿宋_GBK" w:cs="Times New Roman"/>
                <w:color w:val="000000"/>
                <w:sz w:val="21"/>
                <w:szCs w:val="21"/>
              </w:rPr>
              <w:t>使用和管理制度</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《广东省实施&lt;中华人民共和国村民委员会组织法&gt;办法》第14条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238"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11</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118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促进</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乡村和谐</w:t>
            </w: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调解民间纠纷，代表本村处理与邻村的纠纷，促进村与村之间的团结；协调处理村民小组之间的关系</w:t>
            </w:r>
            <w:r>
              <w:rPr>
                <w:rFonts w:hint="default" w:ascii="Times New Roman" w:hAnsi="Times New Roman" w:eastAsia="方正仿宋_GBK" w:cs="Times New Roman"/>
                <w:color w:val="00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宪法》第111条，《中华人民共和国村民委员会组织法》第2条、第7条、第9条，《广东省实施&lt;中华人民共和国村民委员会组织法&gt;办法》第8条、第9条，《中华人民共和国人民调解法》第7条、第8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980"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12</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维护村民的合法权益，保障和维护村民选举权和被选举权</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《中华人民共和国村民委员会组织法》第1条、第9条、第13条，《广东省实施&lt;中华人民共和国村民委员会组织法&gt;办法》第1条、第9条、第15条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74"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13</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收集村民对党委政府和村务管理等意见、投诉；向当地人民政府反映村民的意见、要求和提出建议</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《中华人民共和国宪法》第111条，《中华人民共和国村民委员会组织法》第2条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94"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14</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521" w:type="dxa"/>
            <w:noWrap w:val="0"/>
            <w:vAlign w:val="top"/>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加强农村社会管理，促进村民团结和家庭和睦；多民族村民居住的村和有非本村户籍公民居住的村，教育和引导村民互相尊重、团结互助、尊老爱幼、扶贫帮困</w:t>
            </w:r>
            <w:r>
              <w:rPr>
                <w:rFonts w:hint="default" w:ascii="Times New Roman" w:hAnsi="Times New Roman" w:eastAsia="方正仿宋_GBK" w:cs="Times New Roman"/>
                <w:color w:val="000000"/>
                <w:sz w:val="21"/>
                <w:szCs w:val="21"/>
                <w:lang w:eastAsia="zh-CN"/>
              </w:rPr>
              <w:t>。</w:t>
            </w:r>
          </w:p>
        </w:tc>
        <w:tc>
          <w:tcPr>
            <w:tcW w:w="5334" w:type="dxa"/>
            <w:noWrap w:val="0"/>
            <w:vAlign w:val="top"/>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《中华人民共和国村民委员会组织法》第9条，《广东省实施&lt;中华人民共和国村民委员会组织法&gt;办法》第9条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37"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15</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加强与驻本村的企业、事业单位和群众组织的工作协商</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《广东省实施&lt;中华人民共和国村民委员会组织法&gt;办法》第2条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022"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16</w:t>
            </w:r>
          </w:p>
        </w:tc>
        <w:tc>
          <w:tcPr>
            <w:tcW w:w="118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乡村</w:t>
            </w:r>
            <w:r>
              <w:rPr>
                <w:rFonts w:hint="eastAsia" w:ascii="Times New Roman" w:hAnsi="Times New Roman" w:eastAsia="方正仿宋_GBK" w:cs="Times New Roman"/>
                <w:color w:val="000000"/>
                <w:sz w:val="21"/>
                <w:szCs w:val="21"/>
                <w:lang w:eastAsia="zh-CN"/>
              </w:rPr>
              <w:t>“</w:t>
            </w:r>
            <w:r>
              <w:rPr>
                <w:rFonts w:hint="default" w:ascii="Times New Roman" w:hAnsi="Times New Roman" w:eastAsia="方正仿宋_GBK" w:cs="Times New Roman"/>
                <w:color w:val="000000"/>
                <w:sz w:val="21"/>
                <w:szCs w:val="21"/>
              </w:rPr>
              <w:t>三治</w:t>
            </w:r>
            <w:r>
              <w:rPr>
                <w:rFonts w:hint="eastAsia" w:ascii="Times New Roman" w:hAnsi="Times New Roman" w:eastAsia="方正仿宋_GBK" w:cs="Times New Roman"/>
                <w:color w:val="000000"/>
                <w:sz w:val="21"/>
                <w:szCs w:val="21"/>
                <w:lang w:eastAsia="zh-CN"/>
              </w:rPr>
              <w:t>”</w:t>
            </w:r>
            <w:r>
              <w:rPr>
                <w:rFonts w:hint="default" w:ascii="Times New Roman" w:hAnsi="Times New Roman" w:eastAsia="方正仿宋_GBK" w:cs="Times New Roman"/>
                <w:color w:val="000000"/>
                <w:sz w:val="21"/>
                <w:szCs w:val="21"/>
              </w:rPr>
              <w:t>建设</w:t>
            </w: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依法依规组织村民开展自治活动，实行民主选举、民主决策、民主管理、民主监督，实现自我管理、自我教育、自我服务。</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《中华人民共和国宪法》第111条，《中华人民共和国村民委员会组织法》第2条，《广东省实施&lt;中华人民共和国村民委员会组织法&gt;办法》第2条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967"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17</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负责组织实施乡村德治建设和文化建设, 开展精神文明</w:t>
            </w:r>
            <w:r>
              <w:rPr>
                <w:rFonts w:hint="default" w:ascii="Times New Roman" w:hAnsi="Times New Roman" w:eastAsia="方正仿宋_GBK" w:cs="Times New Roman"/>
                <w:color w:val="000000"/>
                <w:sz w:val="21"/>
                <w:szCs w:val="21"/>
                <w:lang w:eastAsia="zh-CN"/>
              </w:rPr>
              <w:t>创建</w:t>
            </w:r>
            <w:r>
              <w:rPr>
                <w:rFonts w:hint="default" w:ascii="Times New Roman" w:hAnsi="Times New Roman" w:eastAsia="方正仿宋_GBK" w:cs="Times New Roman"/>
                <w:color w:val="000000"/>
                <w:sz w:val="21"/>
                <w:szCs w:val="21"/>
              </w:rPr>
              <w:t>活动，提高村民思想道德素质和科学文化水平，移风易俗，树立社会主义新风尚，培育和弘扬社会主核心价值观；发展文化教育，普及科技知识。</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《中华人民共和国村民委员会组织法》第9条，《广东省实施&lt;中华人民共和国村民委员会组织法&gt;办法》第9条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74"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18</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办理本居住地区村民的公共事务和公益事业</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《中华人民共和国村民委员会组织法》第2条，《广东实施&lt;中华人民共和国村民委员会组织法&gt;办法》第9条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19"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19</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支持服务性、公益性、互助性社会组织开展活动</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《中华人民共和国村民委员会组织法》第9条，《广东实施&lt;中华人民共和国村民委员会组织法&gt;办法》第9条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54"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20</w:t>
            </w:r>
          </w:p>
        </w:tc>
        <w:tc>
          <w:tcPr>
            <w:tcW w:w="118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发展经济</w:t>
            </w: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维护以家庭承包经营为基础、统分结合的双层经营体制，保障集体经济组织和村民、承包经营户、联户或者合伙的合法财产权</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《中华人民共和国村民委员会组织法》第8条，《广东省实施&lt;中华人民共和国村民委员会组织法&gt;办法》第9条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549"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21</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未设立村集体经济组织的，依照法律、法规规定管理本村属于村农民集体所有的土地和其他财产</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民法总则》第101条，《中华人民共和国村民委员会组织法》第8条，《物权法》第60条，《中华人民共和国土地管理法》第10条，《中华人民共和国农村土地承包法》第12条，《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54"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22</w:t>
            </w:r>
          </w:p>
        </w:tc>
        <w:tc>
          <w:tcPr>
            <w:tcW w:w="118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生态生活</w:t>
            </w: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引导村民合理利用集体土地和自然资源，保护和改善生态环境</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《中华人民共和国村民委员会组织法》第8条，《广东省实施&lt;中华人民共和国村民委员会组织法&gt;办法》第9条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94"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23</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整顿村容村貌，搞好公共卫生，改善居住环境</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《中华人民共和国村民委员会组织法》第7条，《广东省实施&lt;中华人民共和国村民委员会组织法&gt;办法》第9条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09"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24</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建立健全农村长效管护机制</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《中华人民共和国村民委员会组织法》第7条，《广东省实施&lt;中华人民共和国村民委员会组织法&gt;办法》第9条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24"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25</w:t>
            </w:r>
          </w:p>
        </w:tc>
        <w:tc>
          <w:tcPr>
            <w:tcW w:w="118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宣传教育</w:t>
            </w: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教育村民依法履行纳税、服兵役、义务教育等义务，贯彻落实男女平等基本国策，遵守村民自治章程和村规民约</w:t>
            </w:r>
            <w:r>
              <w:rPr>
                <w:rFonts w:hint="default" w:ascii="Times New Roman" w:hAnsi="Times New Roman" w:eastAsia="方正仿宋_GBK" w:cs="Times New Roman"/>
                <w:color w:val="000000"/>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《中华人民共和国村民委员会组织法》第9条，《广东省实施&lt;中华人民共和国村民委员会组织法&gt;办法》第9条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39"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26</w:t>
            </w:r>
          </w:p>
        </w:tc>
        <w:tc>
          <w:tcPr>
            <w:tcW w:w="118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FF0000"/>
                <w:sz w:val="21"/>
                <w:szCs w:val="21"/>
                <w:lang w:eastAsia="zh-CN"/>
              </w:rPr>
            </w:pPr>
            <w:r>
              <w:rPr>
                <w:rFonts w:hint="default" w:ascii="Times New Roman" w:hAnsi="Times New Roman" w:eastAsia="方正仿宋_GBK" w:cs="Times New Roman"/>
                <w:color w:val="000000"/>
                <w:sz w:val="21"/>
                <w:szCs w:val="21"/>
              </w:rPr>
              <w:t>综合管理</w:t>
            </w: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编制并实施本村经济和社会发展规划及年度计划</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19"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color w:val="auto"/>
                <w:sz w:val="21"/>
                <w:szCs w:val="21"/>
              </w:rPr>
              <w:t>27</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auto"/>
                <w:sz w:val="21"/>
                <w:szCs w:val="21"/>
                <w:lang w:eastAsia="zh-CN"/>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color w:val="auto"/>
                <w:sz w:val="21"/>
                <w:szCs w:val="21"/>
              </w:rPr>
              <w:t>支持和组织村民参加新型农村合作医疗及农村养老保险</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89" w:hRule="exact"/>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color w:val="auto"/>
                <w:sz w:val="21"/>
                <w:szCs w:val="21"/>
              </w:rPr>
              <w:t>28</w:t>
            </w:r>
          </w:p>
        </w:tc>
        <w:tc>
          <w:tcPr>
            <w:tcW w:w="11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auto"/>
                <w:sz w:val="21"/>
                <w:szCs w:val="21"/>
              </w:rPr>
            </w:pPr>
          </w:p>
        </w:tc>
        <w:tc>
          <w:tcPr>
            <w:tcW w:w="65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auto"/>
                <w:sz w:val="21"/>
                <w:szCs w:val="21"/>
                <w:lang w:eastAsia="zh-CN"/>
              </w:rPr>
            </w:pPr>
            <w:r>
              <w:rPr>
                <w:rFonts w:hint="default" w:ascii="Times New Roman" w:hAnsi="Times New Roman" w:eastAsia="方正仿宋_GBK" w:cs="Times New Roman"/>
                <w:color w:val="auto"/>
                <w:sz w:val="21"/>
                <w:szCs w:val="21"/>
              </w:rPr>
              <w:t>维护异地务工人员就业、经商、居住等权利以及依法享有的公共服务权利和参与社区管理的权利</w:t>
            </w:r>
            <w:r>
              <w:rPr>
                <w:rFonts w:hint="default" w:ascii="Times New Roman" w:hAnsi="Times New Roman" w:eastAsia="方正仿宋_GBK" w:cs="Times New Roman"/>
                <w:color w:val="auto"/>
                <w:sz w:val="21"/>
                <w:szCs w:val="21"/>
                <w:lang w:eastAsia="zh-CN"/>
              </w:rPr>
              <w:t>。</w:t>
            </w:r>
          </w:p>
        </w:tc>
        <w:tc>
          <w:tcPr>
            <w:tcW w:w="53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bl>
    <w:p>
      <w:pPr>
        <w:ind w:firstLine="640"/>
      </w:pPr>
      <w:r>
        <w:br w:type="page"/>
      </w:r>
    </w:p>
    <w:p>
      <w:pPr>
        <w:numPr>
          <w:ilvl w:val="0"/>
          <w:numId w:val="0"/>
        </w:numPr>
        <w:adjustRightInd w:val="0"/>
        <w:snapToGrid w:val="0"/>
        <w:spacing w:line="576" w:lineRule="exact"/>
        <w:ind w:leftChars="0"/>
        <w:jc w:val="center"/>
        <w:rPr>
          <w:rFonts w:hint="eastAsia" w:ascii="楷体_GB2312" w:hAnsi="楷体_GB2312" w:eastAsia="楷体_GB2312" w:cs="楷体_GB2312"/>
          <w:b/>
          <w:bCs w:val="0"/>
          <w:color w:val="000000"/>
          <w:lang w:eastAsia="zh-CN"/>
        </w:rPr>
      </w:pPr>
      <w:r>
        <w:rPr>
          <w:rFonts w:hint="eastAsia" w:ascii="楷体_GB2312" w:hAnsi="楷体_GB2312" w:eastAsia="楷体_GB2312" w:cs="楷体_GB2312"/>
          <w:b/>
          <w:bCs w:val="0"/>
          <w:color w:val="000000"/>
          <w:lang w:eastAsia="zh-CN"/>
        </w:rPr>
        <w:t>（二）协助政府工作职责事项</w:t>
      </w:r>
    </w:p>
    <w:p>
      <w:pPr>
        <w:pStyle w:val="3"/>
        <w:numPr>
          <w:ilvl w:val="0"/>
          <w:numId w:val="0"/>
        </w:numPr>
        <w:ind w:leftChars="0"/>
        <w:rPr>
          <w:rFonts w:hint="eastAsia"/>
          <w:lang w:eastAsia="zh-CN"/>
        </w:rPr>
      </w:pPr>
    </w:p>
    <w:tbl>
      <w:tblPr>
        <w:tblStyle w:val="5"/>
        <w:tblW w:w="13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28" w:type="dxa"/>
          <w:bottom w:w="85" w:type="dxa"/>
          <w:right w:w="28" w:type="dxa"/>
        </w:tblCellMar>
      </w:tblPr>
      <w:tblGrid>
        <w:gridCol w:w="704"/>
        <w:gridCol w:w="1276"/>
        <w:gridCol w:w="6379"/>
        <w:gridCol w:w="5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465" w:hRule="exact"/>
          <w:jc w:val="center"/>
        </w:trPr>
        <w:tc>
          <w:tcPr>
            <w:tcW w:w="704" w:type="dxa"/>
            <w:noWrap w:val="0"/>
            <w:vAlign w:val="center"/>
          </w:tcPr>
          <w:p>
            <w:pPr>
              <w:adjustRightInd w:val="0"/>
              <w:snapToGrid w:val="0"/>
              <w:spacing w:line="320" w:lineRule="exact"/>
              <w:jc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sz w:val="28"/>
                <w:szCs w:val="28"/>
              </w:rPr>
              <w:t>序号</w:t>
            </w:r>
          </w:p>
        </w:tc>
        <w:tc>
          <w:tcPr>
            <w:tcW w:w="1276" w:type="dxa"/>
            <w:noWrap w:val="0"/>
            <w:vAlign w:val="center"/>
          </w:tcPr>
          <w:p>
            <w:pPr>
              <w:adjustRightInd w:val="0"/>
              <w:snapToGrid w:val="0"/>
              <w:spacing w:line="320" w:lineRule="exact"/>
              <w:jc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sz w:val="28"/>
                <w:szCs w:val="28"/>
              </w:rPr>
              <w:t>类别</w:t>
            </w:r>
          </w:p>
        </w:tc>
        <w:tc>
          <w:tcPr>
            <w:tcW w:w="6379" w:type="dxa"/>
            <w:noWrap w:val="0"/>
            <w:vAlign w:val="center"/>
          </w:tcPr>
          <w:p>
            <w:pPr>
              <w:adjustRightInd w:val="0"/>
              <w:snapToGrid w:val="0"/>
              <w:spacing w:line="320" w:lineRule="exact"/>
              <w:jc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sz w:val="28"/>
                <w:szCs w:val="28"/>
              </w:rPr>
              <w:t>事项内容</w:t>
            </w:r>
          </w:p>
        </w:tc>
        <w:tc>
          <w:tcPr>
            <w:tcW w:w="5543" w:type="dxa"/>
            <w:noWrap w:val="0"/>
            <w:vAlign w:val="center"/>
          </w:tcPr>
          <w:p>
            <w:pPr>
              <w:adjustRightInd w:val="0"/>
              <w:snapToGrid w:val="0"/>
              <w:spacing w:line="320" w:lineRule="exact"/>
              <w:jc w:val="center"/>
              <w:rPr>
                <w:rFonts w:hint="eastAsia"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sz w:val="28"/>
                <w:szCs w:val="28"/>
              </w:rPr>
              <w:t>法律法规规章依据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964"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w:t>
            </w:r>
          </w:p>
        </w:tc>
        <w:tc>
          <w:tcPr>
            <w:tcW w:w="127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国防和</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军队建设</w:t>
            </w: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将国防教育纳入农村社会主义精神文明建设的内容，结合征兵工作、拥军优属以及重大节日、纪念日活动，对村民进行国防教育；可以聘请退役军人协助开展国防教育</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《中华人民共和国国防教育法》第21条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29"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2</w:t>
            </w: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配合对体格检查合格的应征公民进行政治审查</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《征兵工作条例》第21条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265"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3</w:t>
            </w: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退役士兵回村安置地时，应热情接待，认真听取他们的意见和要求，帮助他们解决实际困难；自主就业的退役士兵回入伍时户口所在地落户，属于农村集体经济组织成员但没有承包农村土地的，可以申请承包农村土地，村民委员会或者村民小组应当优先解决</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《广东省退伍义务兵安置实施细则》第6条，《退役士兵安置条例》第26条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44"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4</w:t>
            </w: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自觉履行拥军优属的职责和义务，做好优抚对象的优待、服务和管理工作</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《广东省拥军优属规定》第2条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49"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5</w:t>
            </w:r>
          </w:p>
        </w:tc>
        <w:tc>
          <w:tcPr>
            <w:tcW w:w="1276"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文体教育</w:t>
            </w: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配合政府对历史文化保护对象做好保护工作</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《广东省城乡规划条例》第59条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964"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6</w:t>
            </w: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协助政府做好全民健身相关工作，开展适合农村特点的体育活动</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《中华人民共和国体育法》第12条，《全民健身条例》第17条，《广东省退伍义务兵安置实施细则》第9条。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2184"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7</w:t>
            </w:r>
          </w:p>
        </w:tc>
        <w:tc>
          <w:tcPr>
            <w:tcW w:w="1276"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文体教育</w:t>
            </w: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发展文化教育，完善村级文化设施的综合服务功能；建好、管好、运行好行政村综合性文化服务中心；协助政府做好义务教育工作，督促适龄儿童、少年入学；协助组织开展扫除文盲的教育工作</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村民委员会组织法》第9条，《广东省实施&lt;中华人民共和国村民委员会组织法&gt;办法》第9条，《中华人民共和国义务教育法》第13条，《中华人民共和国教育法》第24条，《扫除文盲工作条例》第3条，《国务院办公厅关于推进基层综合性文化服务中心建设的指导意见》（国办发〔2015〕74号），《广东省人民政府办公室关于推进基层综合性文化服务中心的实施意见》（粤府办〔2016〕13号）</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580"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8</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协助开展殡葬改革的宣传教育</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《广东省殡葬管理办法》第5条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485"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9</w:t>
            </w:r>
          </w:p>
        </w:tc>
        <w:tc>
          <w:tcPr>
            <w:tcW w:w="1276"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安全保卫</w:t>
            </w: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农村一般以行政村为单位编民兵连或者营</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《民兵工作条例》第11条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624"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10</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在村党组织的领导下，协助做好群众治安联防组织工作</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《中国共产党章程》第33条，《广东省群众治安联防组织的规定》第2条、第5条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24"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11</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协助开展安全生产宣传、教育活动；及时向当地人民政府及其有关部门报告事故隐患、安全生产违法行为和事故</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《中华人民共和国安全生产法》第75条，《广东省安全生产条例》第38条，《广东省特种设备安全条例》第7条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945"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12</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协助人民政府以及公安机关等部门，加强禁毒宣传教育，落实禁毒防范措施；加强对村级组织成员的禁毒宣传教育；发现非法种植毒品原植物的，及时予以制止、铲除，并向当地公安机关报告</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《中华人民共和国禁毒法》第16条、第17条、第19条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54"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13</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积极协助公安机关查处赌博；对村级组织成员和村民进行禁赌教育，发现赌博及时制止或者报告公安机关查处</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《广东省禁止赌博条例》第10条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00"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14</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在当地人民政府指导下，协助有关部门查处传销行为</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《禁止传销条例》第12条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489"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15</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依法为社区矫正机构、有关社会组织对被告人或者罪犯的居所情况、家庭和社会关系、犯罪行为的后果和影响、居住地村民委员会和被害人意见、拟禁止的事项、社会危险性、对所居住社区的影响等情况进行调查评估时提供必要的协助；协助有关部门对社区矫正和刑满释放人员进行教育、帮助和监督</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《中华人民共和国社区矫正法实施办法》第14条，《广东省实施&lt;中华人民共和国村民委员会组织法&gt;办法》第9条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79"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16</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协助食品药品监管执法、隐患排查、信息报告、宣传引导等职责</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《国务院关于地方改革完善食品药品监督管理体制的指导意见》（国发〔2013〕18号）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44"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17</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协助开展流动人口服务管理及协助做好租赁房屋治安管理服务工作</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《广东省流动人口服务管理条例》第6条，《广东省租赁房屋治安管理规定》第6条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684"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18</w:t>
            </w:r>
          </w:p>
        </w:tc>
        <w:tc>
          <w:tcPr>
            <w:tcW w:w="1276"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社会保障</w:t>
            </w: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协助有关部门开展农村富余劳动力转移就业培训</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《广东省实施&lt;中华人民共和国村民委员会组织法&gt;办法》第9条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24"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19</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积极发现辖区内的疑似精神障碍患者，可应其家属请求协助其就医</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《全国精神卫生工作规划（2015-2020年）》（国办发〔2015〕44号）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659"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20</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应当依精神障碍患者或者其监护人的请求，对监护人看护患者提供必要的帮助</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《中华人民共和国精神卫生法》第49条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424"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21</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themeColor="text1"/>
                <w:sz w:val="21"/>
                <w:szCs w:val="21"/>
                <w:lang w:eastAsia="zh-CN"/>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协助做好有关最低生活保障工作</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《广东省最低生活保障制度实施办法》第</w:t>
            </w: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5条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364"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22</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themeColor="text1"/>
                <w:sz w:val="21"/>
                <w:szCs w:val="21"/>
                <w:lang w:eastAsia="zh-CN"/>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协助做好特困人员认定相关工作</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《特困人员认定办法》第</w:t>
            </w: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3条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50"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23</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themeColor="text1"/>
                <w:sz w:val="21"/>
                <w:szCs w:val="21"/>
                <w:lang w:eastAsia="zh-CN"/>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协助对临时救助申请人的家庭生活状况、人口状况、遭遇困难类型等通过入户调查、邻里访问等方式进行了解，并视情组织民主评议。</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《广东省临时救助办法》第</w:t>
            </w: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15条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980"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24</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协助做好最低生活保障边缘家庭和支出型困难家庭求助政策宣传、主动发现、入户调查、民主评议和资料收集等相关工作，帮助申请困难的家庭提交申请。</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《广东省最低生活保障边缘家庭和支出型困难家庭救助办法》第</w:t>
            </w: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4条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928"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2</w:t>
            </w:r>
            <w:r>
              <w:rPr>
                <w:rFonts w:hint="default" w:ascii="Times New Roman" w:hAnsi="Times New Roman" w:eastAsia="方正仿宋_GBK" w:cs="Times New Roman"/>
                <w:color w:val="000000"/>
                <w:sz w:val="21"/>
                <w:szCs w:val="21"/>
                <w:lang w:val="en-US" w:eastAsia="zh-CN"/>
              </w:rPr>
              <w:t>5</w:t>
            </w:r>
          </w:p>
        </w:tc>
        <w:tc>
          <w:tcPr>
            <w:tcW w:w="127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权益维护</w:t>
            </w: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反映老年人的要求，维护老年人合法权益，为老年人服务；监督赡养协议的履行（经老年人同意，赡养人之间可以就履行赡养义务签订协议）；赡养人、扶养人不履行赡养、扶养义务的，督促其履行；建立适应老年人需要的生活服务、文化体育活动、日间照料、疾病护理与康复等服务设施和网点，就近为老年人提供服务；做好留守老人关爱服务工作</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《中华人民共和国老年人权益保障法》第7条、第20条、第24条、第38条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2170"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2</w:t>
            </w:r>
            <w:r>
              <w:rPr>
                <w:rFonts w:hint="default" w:ascii="Times New Roman" w:hAnsi="Times New Roman" w:eastAsia="方正仿宋_GBK" w:cs="Times New Roman"/>
                <w:color w:val="000000"/>
                <w:sz w:val="21"/>
                <w:szCs w:val="21"/>
                <w:lang w:val="en-US" w:eastAsia="zh-CN"/>
              </w:rPr>
              <w:t>6</w:t>
            </w: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未成年人权益保护；协助司法机关做好对未成年人的教育、挽救工作；协助有关部门教育和挽救违法犯罪的未成年人，预防和制止侵害未成年人合法权益的违法犯罪行为；做好预防未成年人犯罪工作，配合有关部门开展预防未成年人犯罪的法制宣传教育活动，引导未成年人参与健康有益的活动；对于暂住人口中未成年人实施不良行为的，应当督促其父母或者其他监护人进行有效的教育、制止；做好留守儿童、流动儿童、困境儿童关爱服务工作</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未成年人保护法》第6条、第43条，《中华人民共和国预防未成年人犯罪法》第4条、第25条、第30条、第57条，《广东省未成年人保护条例》第3条、第51条、第52条、第57条，《广东省预防未成年人犯罪条例》第3条、第8条，《中国儿童发展纲要（20</w:t>
            </w:r>
            <w:r>
              <w:rPr>
                <w:rFonts w:hint="default" w:ascii="Times New Roman" w:hAnsi="Times New Roman" w:eastAsia="方正仿宋_GBK" w:cs="Times New Roman"/>
                <w:color w:val="000000"/>
                <w:sz w:val="21"/>
                <w:szCs w:val="21"/>
                <w:lang w:val="en-US" w:eastAsia="zh-CN"/>
              </w:rPr>
              <w:t>2</w:t>
            </w:r>
            <w:r>
              <w:rPr>
                <w:rFonts w:hint="default" w:ascii="Times New Roman" w:hAnsi="Times New Roman" w:eastAsia="方正仿宋_GBK" w:cs="Times New Roman"/>
                <w:color w:val="000000"/>
                <w:sz w:val="21"/>
                <w:szCs w:val="21"/>
              </w:rPr>
              <w:t>1-20</w:t>
            </w:r>
            <w:r>
              <w:rPr>
                <w:rFonts w:hint="default" w:ascii="Times New Roman" w:hAnsi="Times New Roman" w:eastAsia="方正仿宋_GBK" w:cs="Times New Roman"/>
                <w:color w:val="000000"/>
                <w:sz w:val="21"/>
                <w:szCs w:val="21"/>
                <w:lang w:val="en-US" w:eastAsia="zh-CN"/>
              </w:rPr>
              <w:t>3</w:t>
            </w:r>
            <w:r>
              <w:rPr>
                <w:rFonts w:hint="default" w:ascii="Times New Roman" w:hAnsi="Times New Roman" w:eastAsia="方正仿宋_GBK" w:cs="Times New Roman"/>
                <w:color w:val="000000"/>
                <w:sz w:val="21"/>
                <w:szCs w:val="21"/>
              </w:rPr>
              <w:t>0年）》、《广东省儿童发展规划（20</w:t>
            </w:r>
            <w:r>
              <w:rPr>
                <w:rFonts w:hint="default" w:ascii="Times New Roman" w:hAnsi="Times New Roman" w:eastAsia="方正仿宋_GBK" w:cs="Times New Roman"/>
                <w:color w:val="000000"/>
                <w:sz w:val="21"/>
                <w:szCs w:val="21"/>
                <w:lang w:val="en-US" w:eastAsia="zh-CN"/>
              </w:rPr>
              <w:t>2</w:t>
            </w:r>
            <w:r>
              <w:rPr>
                <w:rFonts w:hint="default" w:ascii="Times New Roman" w:hAnsi="Times New Roman" w:eastAsia="方正仿宋_GBK" w:cs="Times New Roman"/>
                <w:color w:val="000000"/>
                <w:sz w:val="21"/>
                <w:szCs w:val="21"/>
              </w:rPr>
              <w:t>1-20</w:t>
            </w:r>
            <w:r>
              <w:rPr>
                <w:rFonts w:hint="default" w:ascii="Times New Roman" w:hAnsi="Times New Roman" w:eastAsia="方正仿宋_GBK" w:cs="Times New Roman"/>
                <w:color w:val="000000"/>
                <w:sz w:val="21"/>
                <w:szCs w:val="21"/>
                <w:lang w:val="en-US" w:eastAsia="zh-CN"/>
              </w:rPr>
              <w:t>3</w:t>
            </w:r>
            <w:r>
              <w:rPr>
                <w:rFonts w:hint="default" w:ascii="Times New Roman" w:hAnsi="Times New Roman" w:eastAsia="方正仿宋_GBK" w:cs="Times New Roman"/>
                <w:color w:val="000000"/>
                <w:sz w:val="21"/>
                <w:szCs w:val="21"/>
              </w:rPr>
              <w:t>0年）》</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60"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2</w:t>
            </w:r>
            <w:r>
              <w:rPr>
                <w:rFonts w:hint="default" w:ascii="Times New Roman" w:hAnsi="Times New Roman" w:eastAsia="方正仿宋_GBK" w:cs="Times New Roman"/>
                <w:color w:val="000000"/>
                <w:sz w:val="21"/>
                <w:szCs w:val="21"/>
                <w:lang w:val="en-US" w:eastAsia="zh-CN"/>
              </w:rPr>
              <w:t>7</w:t>
            </w: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切实保障妇女合法权益；维护妇女及其子女在农村集体经济组织中的各项权益</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《中华人民共和国妇女权益保障法》第4条、第32条、第33条，《广东省&lt;中华人民共和国妇女权益保障法&gt;办法》第23条、第24条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117"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2</w:t>
            </w:r>
            <w:r>
              <w:rPr>
                <w:rFonts w:hint="default" w:ascii="Times New Roman" w:hAnsi="Times New Roman" w:eastAsia="方正仿宋_GBK" w:cs="Times New Roman"/>
                <w:color w:val="000000"/>
                <w:sz w:val="21"/>
                <w:szCs w:val="21"/>
                <w:lang w:val="en-US" w:eastAsia="zh-CN"/>
              </w:rPr>
              <w:t>8</w:t>
            </w:r>
          </w:p>
        </w:tc>
        <w:tc>
          <w:tcPr>
            <w:tcW w:w="127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卫生健康</w:t>
            </w: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协助基层医疗卫生机构和公安部门做好人口死亡医学证明签发使用和信息登记方面工作</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《转发国家卫生计生委办公室关于印发人口死亡信息登记管理规范（试行）的通知》（粤卫办函〔2015〕31号）</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83"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2</w:t>
            </w:r>
            <w:r>
              <w:rPr>
                <w:rFonts w:hint="default" w:ascii="Times New Roman" w:hAnsi="Times New Roman" w:eastAsia="方正仿宋_GBK" w:cs="Times New Roman"/>
                <w:color w:val="000000"/>
                <w:sz w:val="21"/>
                <w:szCs w:val="21"/>
                <w:lang w:val="en-US" w:eastAsia="zh-CN"/>
              </w:rPr>
              <w:t>9</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color w:val="000000"/>
                <w:sz w:val="21"/>
                <w:szCs w:val="21"/>
                <w:lang w:val="en-US" w:eastAsia="zh-CN"/>
              </w:rPr>
            </w:pP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协助乡镇人民政府和街道办事处开展爱国卫生工作，组织本辖区内的单位和个人参加爱国卫生运动</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《广东省爱国卫生工作条例》第9条</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2328"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30</w:t>
            </w: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组织村民参与农村的传染病预防与控制活动；传染病暴发、流行时，组织力量，团结协作，群防群治，协助卫生行政主管部门和其他有关部门、医疗卫生机构做好疫情信息的收集和报告、人员的分散隔离、公共卫生措施的落实工作，向村民宣传传染病防治的相关知识；协助地方各级人民政府和政府有关部门开展有关艾滋病防治的法律、法规、政策和知识的宣传教育，发展有关艾滋病防治的公益事业，做好艾滋病防治工作</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《中华人民共和国传染病防治法》第9条，《艾滋病防治条例》第6条，《突发公共卫生事件应急条例》第40条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43"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31</w:t>
            </w:r>
          </w:p>
        </w:tc>
        <w:tc>
          <w:tcPr>
            <w:tcW w:w="127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农业工作</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和水利工程</w:t>
            </w: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有保护基本农田的义务，并有权检举、控告侵占、破坏基本农田和其他违反《广东省基本农田保护区管理条例》的行为</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《广东省基本农田保护区管理条例》第21条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894"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32</w:t>
            </w: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实施退耕还林的村建立退耕还林公示制度，将退耕还林者的退耕还林面积、造林树种、成活率以及资金和粮食补助发放等情况进行公示</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《退耕还林条例》第46条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59"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3</w:t>
            </w:r>
            <w:r>
              <w:rPr>
                <w:rFonts w:hint="default" w:ascii="Times New Roman" w:hAnsi="Times New Roman" w:eastAsia="方正仿宋_GBK" w:cs="Times New Roman"/>
                <w:color w:val="000000"/>
                <w:sz w:val="21"/>
                <w:szCs w:val="21"/>
                <w:lang w:val="en-US" w:eastAsia="zh-CN"/>
              </w:rPr>
              <w:t>3</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宣传动物疫病防治的相关知识，协助做好疫情信息的收集、报告和各项应急处理措施的落实工作</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《重大动物疫情应急条例》第37条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564"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3</w:t>
            </w:r>
            <w:r>
              <w:rPr>
                <w:rFonts w:hint="default" w:ascii="Times New Roman" w:hAnsi="Times New Roman" w:eastAsia="方正仿宋_GBK" w:cs="Times New Roman"/>
                <w:color w:val="000000"/>
                <w:sz w:val="21"/>
                <w:szCs w:val="21"/>
                <w:lang w:val="en-US" w:eastAsia="zh-CN"/>
              </w:rPr>
              <w:t>4</w:t>
            </w: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rPr>
              <w:t>推动、帮助村农业技术服务站点和农民技术人员开展工作</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《中华人民共和国农业技术推广法》第15条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225"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3</w:t>
            </w:r>
            <w:r>
              <w:rPr>
                <w:rFonts w:hint="default" w:ascii="Times New Roman" w:hAnsi="Times New Roman" w:eastAsia="方正仿宋_GBK" w:cs="Times New Roman"/>
                <w:color w:val="000000"/>
                <w:sz w:val="21"/>
                <w:szCs w:val="21"/>
                <w:lang w:val="en-US" w:eastAsia="zh-CN"/>
              </w:rPr>
              <w:t>5</w:t>
            </w: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eastAsia" w:ascii="Times New Roman" w:hAnsi="Times New Roman" w:eastAsia="方正仿宋_GBK" w:cs="Times New Roman"/>
                <w:color w:val="000000"/>
                <w:sz w:val="21"/>
                <w:szCs w:val="21"/>
                <w:lang w:eastAsia="zh-CN"/>
              </w:rPr>
            </w:pPr>
            <w:r>
              <w:rPr>
                <w:rFonts w:hint="eastAsia" w:eastAsia="方正仿宋_GBK" w:cs="Times New Roman"/>
                <w:color w:val="000000"/>
                <w:sz w:val="21"/>
                <w:szCs w:val="21"/>
                <w:lang w:eastAsia="zh-CN"/>
              </w:rPr>
              <w:t>大中型和</w:t>
            </w:r>
            <w:r>
              <w:rPr>
                <w:rFonts w:hint="default" w:ascii="Times New Roman" w:hAnsi="Times New Roman" w:eastAsia="方正仿宋_GBK" w:cs="Times New Roman"/>
                <w:color w:val="000000"/>
                <w:sz w:val="21"/>
                <w:szCs w:val="21"/>
              </w:rPr>
              <w:t>重要的小型水利工程应当设置专门管理单位，未设置专门管理单位的小型水利工程必须有专人管理</w:t>
            </w:r>
            <w:r>
              <w:rPr>
                <w:rFonts w:hint="eastAsia" w:eastAsia="方正仿宋_GBK" w:cs="Times New Roman"/>
                <w:color w:val="000000"/>
                <w:sz w:val="21"/>
                <w:szCs w:val="21"/>
                <w:lang w:eastAsia="zh-CN"/>
              </w:rPr>
              <w:t>。同一水利工程必须设置统一的专门管理单位。水利工程管理单位具体负责水利工程的运行管理、维护和开发利用。</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《广东省水利工程管理条例》第8条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199"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3</w:t>
            </w:r>
            <w:r>
              <w:rPr>
                <w:rFonts w:hint="default" w:ascii="Times New Roman" w:hAnsi="Times New Roman" w:eastAsia="方正仿宋_GBK" w:cs="Times New Roman"/>
                <w:color w:val="000000"/>
                <w:sz w:val="21"/>
                <w:szCs w:val="21"/>
                <w:lang w:val="en-US" w:eastAsia="zh-CN"/>
              </w:rPr>
              <w:t>6</w:t>
            </w:r>
          </w:p>
        </w:tc>
        <w:tc>
          <w:tcPr>
            <w:tcW w:w="127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村庄</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规划建设</w:t>
            </w: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引导村民合理建设住宅；向上申请的在村庄规划确定的宅基地范围内建设农村村民住宅的，村民委员会签署书面意见</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《广东省实施&lt;中华人民共和国村民委员会组织法&gt;办法》第9条，《广东省城乡规划条例》第51条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410"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3</w:t>
            </w:r>
            <w:r>
              <w:rPr>
                <w:rFonts w:hint="default" w:ascii="Times New Roman" w:hAnsi="Times New Roman" w:eastAsia="方正仿宋_GBK" w:cs="Times New Roman"/>
                <w:color w:val="000000"/>
                <w:sz w:val="21"/>
                <w:szCs w:val="21"/>
                <w:lang w:val="en-US" w:eastAsia="zh-CN"/>
              </w:rPr>
              <w:t>7</w:t>
            </w: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保存村庄规划的主要内容并在村庄公共场所公布；使用集体土地进行建设并申请核发镇村建设规划许可证，申请材料中需有村民委员会出具的书面意见；在村庄规划报送审批前，协助镇人民政府组织召开村民会议或者村民代表会议讨论并征求村民对村庄规划的意见</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《中华人民共和国城乡规划法》第22条，《广东省城乡规划条例》第16条、第24条、第37条、第50条、第51条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914"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3</w:t>
            </w:r>
            <w:r>
              <w:rPr>
                <w:rFonts w:hint="default" w:ascii="Times New Roman" w:hAnsi="Times New Roman" w:eastAsia="方正仿宋_GBK" w:cs="Times New Roman"/>
                <w:color w:val="000000"/>
                <w:sz w:val="21"/>
                <w:szCs w:val="21"/>
                <w:lang w:val="en-US" w:eastAsia="zh-CN"/>
              </w:rPr>
              <w:t>8</w:t>
            </w:r>
          </w:p>
        </w:tc>
        <w:tc>
          <w:tcPr>
            <w:tcW w:w="12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支持、配合土地行政主管部门就土地违法问题进行的监督检查工作，提供工作方便，不得拒绝与妨碍土地管理监督检查人员依法执行职务</w:t>
            </w:r>
            <w:r>
              <w:rPr>
                <w:rFonts w:hint="default" w:ascii="Times New Roman" w:hAnsi="Times New Roman" w:eastAsia="方正仿宋_GBK" w:cs="Times New Roman"/>
                <w:color w:val="000000"/>
                <w:sz w:val="21"/>
                <w:szCs w:val="21"/>
                <w:lang w:eastAsia="zh-CN"/>
              </w:rPr>
              <w:t>。</w:t>
            </w:r>
          </w:p>
        </w:tc>
        <w:tc>
          <w:tcPr>
            <w:tcW w:w="554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《中</w:t>
            </w:r>
            <w:r>
              <w:rPr>
                <w:rFonts w:hint="default" w:ascii="Times New Roman" w:hAnsi="Times New Roman" w:eastAsia="方正仿宋_GBK" w:cs="Times New Roman"/>
                <w:color w:val="000000"/>
                <w:sz w:val="21"/>
                <w:szCs w:val="21"/>
                <w:lang w:eastAsia="zh-CN"/>
              </w:rPr>
              <w:t>华</w:t>
            </w:r>
            <w:r>
              <w:rPr>
                <w:rFonts w:hint="default" w:ascii="Times New Roman" w:hAnsi="Times New Roman" w:eastAsia="方正仿宋_GBK" w:cs="Times New Roman"/>
                <w:color w:val="000000"/>
                <w:sz w:val="21"/>
                <w:szCs w:val="21"/>
              </w:rPr>
              <w:t>人民共和国土地管理法》第70条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1034"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39</w:t>
            </w:r>
          </w:p>
        </w:tc>
        <w:tc>
          <w:tcPr>
            <w:tcW w:w="1276"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生态环境</w:t>
            </w: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发现擅自倾倒、违法转移、非法处置固体废物的行为，应当及时向上级人民政府和有关部门报告，并配合查出固体废物污染环境违法行为</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《广东省固体废物污染环境防治条例》第31条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524"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40</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协助环境保护主管部门做好本区域的环境保护工作</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《广东省环境保护条例》第4条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629"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41</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协助做好土壤污染防治的相关工作</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《广东省实施&lt;中华人民共和国土壤污染防治法&gt;办法》第6条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20"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42</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协助做好本区域的水污染防治工作；开展水环境保护宣传、监督等活动</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《广东省水污染防治条例》第4条，第11条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990"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43</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协助做好生活垃圾源头减量、分类投放等的组织、宣传、引导工作；落实生活垃圾分类投放管理责任人制度并公布；协助开展日常巡查</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《广东省城乡生活垃圾管理条例》第4条、第24条、第43条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59"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4</w:t>
            </w:r>
            <w:r>
              <w:rPr>
                <w:rFonts w:hint="default" w:ascii="Times New Roman" w:hAnsi="Times New Roman" w:eastAsia="方正仿宋_GBK" w:cs="Times New Roman"/>
                <w:color w:val="000000"/>
                <w:sz w:val="21"/>
                <w:szCs w:val="21"/>
                <w:lang w:val="en-US" w:eastAsia="zh-CN"/>
              </w:rPr>
              <w:t>4</w:t>
            </w:r>
          </w:p>
        </w:tc>
        <w:tc>
          <w:tcPr>
            <w:tcW w:w="1276"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统计和</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普查工作</w:t>
            </w: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协助所在地人民政府动员和组织社会力量，做好本区域的人口普查工作</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《全国人口普查条例》第3条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489"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4</w:t>
            </w:r>
            <w:r>
              <w:rPr>
                <w:rFonts w:hint="default" w:ascii="Times New Roman" w:hAnsi="Times New Roman" w:eastAsia="方正仿宋_GBK" w:cs="Times New Roman"/>
                <w:color w:val="000000"/>
                <w:sz w:val="21"/>
                <w:szCs w:val="21"/>
                <w:lang w:val="en-US" w:eastAsia="zh-CN"/>
              </w:rPr>
              <w:t>5</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动员和组织社会力量积极参与并认真做好经济普查工作</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《全国经济普查条例》第16条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569"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4</w:t>
            </w:r>
            <w:r>
              <w:rPr>
                <w:rFonts w:hint="default" w:ascii="Times New Roman" w:hAnsi="Times New Roman" w:eastAsia="方正仿宋_GBK" w:cs="Times New Roman"/>
                <w:color w:val="000000"/>
                <w:sz w:val="21"/>
                <w:szCs w:val="21"/>
                <w:lang w:val="en-US" w:eastAsia="zh-CN"/>
              </w:rPr>
              <w:t>6</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在乡镇人民政府的指导下做好本区域内的农业普查工作</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《全国农业普查条例》第12条、第17条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534"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4</w:t>
            </w:r>
            <w:r>
              <w:rPr>
                <w:rFonts w:hint="default" w:ascii="Times New Roman" w:hAnsi="Times New Roman" w:eastAsia="方正仿宋_GBK" w:cs="Times New Roman"/>
                <w:color w:val="000000"/>
                <w:sz w:val="21"/>
                <w:szCs w:val="21"/>
                <w:lang w:val="en-US" w:eastAsia="zh-CN"/>
              </w:rPr>
              <w:t>7</w:t>
            </w:r>
          </w:p>
        </w:tc>
        <w:tc>
          <w:tcPr>
            <w:tcW w:w="1276" w:type="dxa"/>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动员和组织社会力量积极参与土地调查工作</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《土地调查条例》第10条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719" w:hRule="exact"/>
          <w:jc w:val="center"/>
        </w:trPr>
        <w:tc>
          <w:tcPr>
            <w:tcW w:w="70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4</w:t>
            </w:r>
            <w:r>
              <w:rPr>
                <w:rFonts w:hint="default" w:ascii="Times New Roman" w:hAnsi="Times New Roman" w:eastAsia="方正仿宋_GBK" w:cs="Times New Roman"/>
                <w:color w:val="000000"/>
                <w:sz w:val="21"/>
                <w:szCs w:val="21"/>
                <w:lang w:val="en-US" w:eastAsia="zh-CN"/>
              </w:rPr>
              <w:t>8</w:t>
            </w:r>
          </w:p>
        </w:tc>
        <w:tc>
          <w:tcPr>
            <w:tcW w:w="127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政府购买</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服务事项</w:t>
            </w:r>
          </w:p>
        </w:tc>
        <w:tc>
          <w:tcPr>
            <w:tcW w:w="6379"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中央和省两级所制定的政府购买服务指导性目录中适宜由村民委员会承担的服务事项</w:t>
            </w:r>
            <w:r>
              <w:rPr>
                <w:rFonts w:hint="default" w:ascii="Times New Roman" w:hAnsi="Times New Roman" w:eastAsia="方正仿宋_GBK" w:cs="Times New Roman"/>
                <w:color w:val="000000"/>
                <w:sz w:val="21"/>
                <w:szCs w:val="21"/>
                <w:lang w:eastAsia="zh-CN"/>
              </w:rPr>
              <w:t>。</w:t>
            </w:r>
          </w:p>
        </w:tc>
        <w:tc>
          <w:tcPr>
            <w:tcW w:w="5543" w:type="dxa"/>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《政府购买服务管理办法》第6条、第12条</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644"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4</w:t>
            </w:r>
            <w:r>
              <w:rPr>
                <w:rFonts w:hint="default" w:ascii="Times New Roman" w:hAnsi="Times New Roman" w:eastAsia="方正仿宋_GBK" w:cs="Times New Roman"/>
                <w:color w:val="000000"/>
                <w:sz w:val="21"/>
                <w:szCs w:val="21"/>
                <w:lang w:val="en-US" w:eastAsia="zh-CN"/>
              </w:rPr>
              <w:t>9</w:t>
            </w:r>
          </w:p>
        </w:tc>
        <w:tc>
          <w:tcPr>
            <w:tcW w:w="1319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在不违反法律法规的前提下，根据辖区村民的需要，村民委员会对职责范围内能够如实掌握的情况，给予出具相关证明</w:t>
            </w:r>
            <w:r>
              <w:rPr>
                <w:rFonts w:hint="default" w:ascii="Times New Roman" w:hAnsi="Times New Roman" w:eastAsia="方正仿宋_GBK"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28" w:type="dxa"/>
            <w:bottom w:w="85" w:type="dxa"/>
            <w:right w:w="28" w:type="dxa"/>
          </w:tblCellMar>
        </w:tblPrEx>
        <w:trPr>
          <w:cantSplit/>
          <w:trHeight w:val="574" w:hRule="exact"/>
          <w:jc w:val="center"/>
        </w:trPr>
        <w:tc>
          <w:tcPr>
            <w:tcW w:w="70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lang w:val="en-US" w:eastAsia="zh-CN"/>
              </w:rPr>
            </w:pPr>
            <w:r>
              <w:rPr>
                <w:rFonts w:hint="default" w:ascii="Times New Roman" w:hAnsi="Times New Roman" w:eastAsia="方正仿宋_GBK" w:cs="Times New Roman"/>
                <w:color w:val="000000"/>
                <w:sz w:val="21"/>
                <w:szCs w:val="21"/>
                <w:lang w:val="en-US" w:eastAsia="zh-CN"/>
              </w:rPr>
              <w:t>50</w:t>
            </w:r>
          </w:p>
        </w:tc>
        <w:tc>
          <w:tcPr>
            <w:tcW w:w="1319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其他依法依规协助政府工作的事项</w:t>
            </w:r>
          </w:p>
        </w:tc>
      </w:tr>
    </w:tbl>
    <w:p>
      <w:pPr>
        <w:numPr>
          <w:ilvl w:val="0"/>
          <w:numId w:val="0"/>
        </w:numPr>
        <w:adjustRightInd w:val="0"/>
        <w:snapToGrid w:val="0"/>
        <w:spacing w:line="576" w:lineRule="exact"/>
        <w:ind w:leftChars="0"/>
        <w:jc w:val="center"/>
        <w:rPr>
          <w:rFonts w:hint="eastAsia" w:ascii="楷体_GB2312" w:hAnsi="楷体_GB2312" w:eastAsia="楷体_GB2312" w:cs="楷体_GB2312"/>
          <w:b/>
          <w:bCs w:val="0"/>
          <w:color w:val="000000"/>
          <w:lang w:eastAsia="zh-CN"/>
        </w:rPr>
      </w:pPr>
    </w:p>
    <w:p>
      <w:pPr>
        <w:numPr>
          <w:ilvl w:val="0"/>
          <w:numId w:val="0"/>
        </w:numPr>
        <w:adjustRightInd w:val="0"/>
        <w:snapToGrid w:val="0"/>
        <w:spacing w:line="576" w:lineRule="exact"/>
        <w:ind w:leftChars="0"/>
        <w:jc w:val="center"/>
        <w:rPr>
          <w:rFonts w:hint="eastAsia" w:ascii="楷体_GB2312" w:hAnsi="楷体_GB2312" w:eastAsia="楷体_GB2312" w:cs="楷体_GB2312"/>
          <w:b/>
          <w:bCs w:val="0"/>
          <w:color w:val="000000"/>
          <w:lang w:eastAsia="zh-CN"/>
        </w:rPr>
      </w:pPr>
    </w:p>
    <w:p>
      <w:pPr>
        <w:numPr>
          <w:ilvl w:val="0"/>
          <w:numId w:val="0"/>
        </w:numPr>
        <w:adjustRightInd w:val="0"/>
        <w:snapToGrid w:val="0"/>
        <w:spacing w:line="576" w:lineRule="exact"/>
        <w:ind w:leftChars="0"/>
        <w:jc w:val="center"/>
        <w:rPr>
          <w:rFonts w:hint="eastAsia" w:ascii="楷体_GB2312" w:hAnsi="楷体_GB2312" w:eastAsia="楷体_GB2312" w:cs="楷体_GB2312"/>
          <w:b/>
          <w:bCs w:val="0"/>
          <w:color w:val="000000"/>
          <w:lang w:eastAsia="zh-CN"/>
        </w:rPr>
      </w:pPr>
    </w:p>
    <w:p>
      <w:pPr>
        <w:numPr>
          <w:ilvl w:val="0"/>
          <w:numId w:val="0"/>
        </w:numPr>
        <w:adjustRightInd w:val="0"/>
        <w:snapToGrid w:val="0"/>
        <w:spacing w:line="576" w:lineRule="exact"/>
        <w:ind w:leftChars="0"/>
        <w:jc w:val="center"/>
        <w:rPr>
          <w:rFonts w:hint="eastAsia" w:ascii="楷体_GB2312" w:hAnsi="楷体_GB2312" w:eastAsia="楷体_GB2312" w:cs="楷体_GB2312"/>
          <w:b/>
          <w:bCs w:val="0"/>
          <w:color w:val="000000"/>
          <w:lang w:eastAsia="zh-CN"/>
        </w:rPr>
      </w:pPr>
    </w:p>
    <w:p>
      <w:pPr>
        <w:numPr>
          <w:ilvl w:val="0"/>
          <w:numId w:val="0"/>
        </w:numPr>
        <w:adjustRightInd w:val="0"/>
        <w:snapToGrid w:val="0"/>
        <w:spacing w:line="576" w:lineRule="exact"/>
        <w:ind w:leftChars="0"/>
        <w:jc w:val="center"/>
        <w:rPr>
          <w:rFonts w:hint="eastAsia" w:ascii="楷体_GB2312" w:hAnsi="楷体_GB2312" w:eastAsia="楷体_GB2312" w:cs="楷体_GB2312"/>
          <w:b/>
          <w:bCs w:val="0"/>
          <w:color w:val="000000"/>
          <w:lang w:eastAsia="zh-CN"/>
        </w:rPr>
      </w:pPr>
    </w:p>
    <w:p>
      <w:pPr>
        <w:numPr>
          <w:ilvl w:val="0"/>
          <w:numId w:val="0"/>
        </w:numPr>
        <w:adjustRightInd w:val="0"/>
        <w:snapToGrid w:val="0"/>
        <w:spacing w:line="576" w:lineRule="exact"/>
        <w:ind w:leftChars="0"/>
        <w:jc w:val="center"/>
        <w:rPr>
          <w:rFonts w:hint="eastAsia"/>
        </w:rPr>
      </w:pPr>
      <w:r>
        <w:rPr>
          <w:rFonts w:hint="eastAsia" w:ascii="楷体_GB2312" w:hAnsi="楷体_GB2312" w:eastAsia="楷体_GB2312" w:cs="楷体_GB2312"/>
          <w:b/>
          <w:bCs w:val="0"/>
          <w:color w:val="000000"/>
          <w:lang w:eastAsia="zh-CN"/>
        </w:rPr>
        <w:t>（三）</w:t>
      </w:r>
      <w:r>
        <w:rPr>
          <w:rFonts w:hint="eastAsia" w:ascii="楷体_GB2312" w:hAnsi="楷体_GB2312" w:eastAsia="楷体_GB2312" w:cs="楷体_GB2312"/>
          <w:b/>
          <w:bCs w:val="0"/>
          <w:color w:val="000000"/>
        </w:rPr>
        <w:t>应取消和禁入事项</w:t>
      </w:r>
    </w:p>
    <w:tbl>
      <w:tblPr>
        <w:tblStyle w:val="5"/>
        <w:tblW w:w="13908" w:type="dxa"/>
        <w:tblInd w:w="-12" w:type="dxa"/>
        <w:tblLayout w:type="fixed"/>
        <w:tblCellMar>
          <w:top w:w="0" w:type="dxa"/>
          <w:left w:w="108" w:type="dxa"/>
          <w:bottom w:w="0" w:type="dxa"/>
          <w:right w:w="108" w:type="dxa"/>
        </w:tblCellMar>
      </w:tblPr>
      <w:tblGrid>
        <w:gridCol w:w="784"/>
        <w:gridCol w:w="1110"/>
        <w:gridCol w:w="1320"/>
        <w:gridCol w:w="10694"/>
      </w:tblGrid>
      <w:tr>
        <w:tblPrEx>
          <w:tblCellMar>
            <w:top w:w="0" w:type="dxa"/>
            <w:left w:w="108" w:type="dxa"/>
            <w:bottom w:w="0" w:type="dxa"/>
            <w:right w:w="108" w:type="dxa"/>
          </w:tblCellMar>
        </w:tblPrEx>
        <w:trPr>
          <w:trHeight w:val="530" w:hRule="atLeast"/>
        </w:trPr>
        <w:tc>
          <w:tcPr>
            <w:tcW w:w="78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方正黑体_GBK" w:hAnsi="方正黑体_GBK" w:eastAsia="方正黑体_GBK" w:cs="方正黑体_GBK"/>
                <w:color w:val="000000"/>
                <w:kern w:val="0"/>
                <w:sz w:val="28"/>
                <w:szCs w:val="28"/>
              </w:rPr>
            </w:pPr>
            <w:r>
              <w:rPr>
                <w:rFonts w:hint="eastAsia" w:ascii="方正黑体_GBK" w:hAnsi="方正黑体_GBK" w:eastAsia="方正黑体_GBK" w:cs="方正黑体_GBK"/>
                <w:color w:val="000000"/>
                <w:kern w:val="0"/>
                <w:sz w:val="28"/>
                <w:szCs w:val="28"/>
              </w:rPr>
              <w:t>序号</w:t>
            </w:r>
          </w:p>
        </w:tc>
        <w:tc>
          <w:tcPr>
            <w:tcW w:w="243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方正黑体_GBK" w:hAnsi="方正黑体_GBK" w:eastAsia="方正黑体_GBK" w:cs="方正黑体_GBK"/>
                <w:color w:val="000000"/>
                <w:kern w:val="0"/>
                <w:sz w:val="28"/>
                <w:szCs w:val="28"/>
              </w:rPr>
            </w:pPr>
            <w:r>
              <w:rPr>
                <w:rFonts w:hint="eastAsia" w:ascii="方正黑体_GBK" w:hAnsi="方正黑体_GBK" w:eastAsia="方正黑体_GBK" w:cs="方正黑体_GBK"/>
                <w:color w:val="000000"/>
                <w:kern w:val="0"/>
                <w:sz w:val="28"/>
                <w:szCs w:val="28"/>
              </w:rPr>
              <w:t>类别</w:t>
            </w:r>
          </w:p>
        </w:tc>
        <w:tc>
          <w:tcPr>
            <w:tcW w:w="1069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方正黑体_GBK" w:hAnsi="方正黑体_GBK" w:eastAsia="方正黑体_GBK" w:cs="方正黑体_GBK"/>
                <w:color w:val="000000"/>
                <w:kern w:val="0"/>
                <w:sz w:val="28"/>
                <w:szCs w:val="28"/>
              </w:rPr>
            </w:pPr>
            <w:r>
              <w:rPr>
                <w:rFonts w:hint="eastAsia" w:ascii="方正黑体_GBK" w:hAnsi="方正黑体_GBK" w:eastAsia="方正黑体_GBK" w:cs="方正黑体_GBK"/>
                <w:color w:val="000000"/>
                <w:kern w:val="0"/>
                <w:sz w:val="28"/>
                <w:szCs w:val="28"/>
              </w:rPr>
              <w:t>事项内容</w:t>
            </w:r>
          </w:p>
        </w:tc>
      </w:tr>
      <w:tr>
        <w:tblPrEx>
          <w:tblCellMar>
            <w:top w:w="0" w:type="dxa"/>
            <w:left w:w="108" w:type="dxa"/>
            <w:bottom w:w="0" w:type="dxa"/>
            <w:right w:w="108" w:type="dxa"/>
          </w:tblCellMar>
        </w:tblPrEx>
        <w:trPr>
          <w:trHeight w:val="651" w:hRule="exact"/>
        </w:trPr>
        <w:tc>
          <w:tcPr>
            <w:tcW w:w="784"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w:t>
            </w:r>
          </w:p>
        </w:tc>
        <w:tc>
          <w:tcPr>
            <w:tcW w:w="111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出具</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相关证明</w:t>
            </w: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132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学历工作类</w:t>
            </w:r>
          </w:p>
        </w:tc>
        <w:tc>
          <w:tcPr>
            <w:tcW w:w="1069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学历证明、资格考试审核证明、资格证真实性证明、工作经历证明、待业情况证明、失业证明、各类收入及无收入证明、部队家属</w:t>
            </w:r>
            <w:r>
              <w:rPr>
                <w:rFonts w:hint="eastAsia" w:ascii="Times New Roman" w:hAnsi="Times New Roman" w:eastAsia="方正仿宋_GBK" w:cs="Times New Roman"/>
                <w:color w:val="000000"/>
                <w:sz w:val="21"/>
                <w:szCs w:val="21"/>
                <w:lang w:eastAsia="zh-CN"/>
              </w:rPr>
              <w:t>“</w:t>
            </w:r>
            <w:r>
              <w:rPr>
                <w:rFonts w:hint="default" w:ascii="Times New Roman" w:hAnsi="Times New Roman" w:eastAsia="方正仿宋_GBK" w:cs="Times New Roman"/>
                <w:color w:val="000000"/>
                <w:sz w:val="21"/>
                <w:szCs w:val="21"/>
              </w:rPr>
              <w:t>无工作无收入</w:t>
            </w:r>
            <w:r>
              <w:rPr>
                <w:rFonts w:hint="eastAsia" w:ascii="Times New Roman" w:hAnsi="Times New Roman" w:eastAsia="方正仿宋_GBK" w:cs="Times New Roman"/>
                <w:color w:val="000000"/>
                <w:sz w:val="21"/>
                <w:szCs w:val="21"/>
                <w:lang w:eastAsia="zh-CN"/>
              </w:rPr>
              <w:t>”</w:t>
            </w:r>
            <w:r>
              <w:rPr>
                <w:rFonts w:hint="default" w:ascii="Times New Roman" w:hAnsi="Times New Roman" w:eastAsia="方正仿宋_GBK" w:cs="Times New Roman"/>
                <w:color w:val="000000"/>
                <w:sz w:val="21"/>
                <w:szCs w:val="21"/>
              </w:rPr>
              <w:t>证明等</w:t>
            </w:r>
            <w:r>
              <w:rPr>
                <w:rFonts w:hint="default" w:ascii="Times New Roman" w:hAnsi="Times New Roman" w:eastAsia="方正仿宋_GBK" w:cs="Times New Roman"/>
                <w:color w:val="000000"/>
                <w:sz w:val="21"/>
                <w:szCs w:val="21"/>
                <w:lang w:eastAsia="zh-CN"/>
              </w:rPr>
              <w:t>。</w:t>
            </w:r>
          </w:p>
        </w:tc>
      </w:tr>
      <w:tr>
        <w:tblPrEx>
          <w:tblCellMar>
            <w:top w:w="0" w:type="dxa"/>
            <w:left w:w="108" w:type="dxa"/>
            <w:bottom w:w="0" w:type="dxa"/>
            <w:right w:w="108" w:type="dxa"/>
          </w:tblCellMar>
        </w:tblPrEx>
        <w:trPr>
          <w:trHeight w:val="856" w:hRule="exact"/>
        </w:trPr>
        <w:tc>
          <w:tcPr>
            <w:tcW w:w="784"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2</w:t>
            </w:r>
          </w:p>
        </w:tc>
        <w:tc>
          <w:tcPr>
            <w:tcW w:w="111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132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公共治安类</w:t>
            </w:r>
          </w:p>
        </w:tc>
        <w:tc>
          <w:tcPr>
            <w:tcW w:w="1069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无违法犯罪证明、未参加过国家禁止的组织或活动的证明、各项遗失情况证明（出生证等证照）、诉讼证明、历史遗留问题证明、国防生的政治表现证明、绿化迁移证明、住宅小区经营收费停车场、游泳池及食品流通许可证明等</w:t>
            </w:r>
            <w:r>
              <w:rPr>
                <w:rFonts w:hint="default" w:ascii="Times New Roman" w:hAnsi="Times New Roman" w:eastAsia="方正仿宋_GBK" w:cs="Times New Roman"/>
                <w:color w:val="000000"/>
                <w:sz w:val="21"/>
                <w:szCs w:val="21"/>
                <w:lang w:eastAsia="zh-CN"/>
              </w:rPr>
              <w:t>。</w:t>
            </w:r>
          </w:p>
        </w:tc>
      </w:tr>
      <w:tr>
        <w:tblPrEx>
          <w:tblCellMar>
            <w:top w:w="0" w:type="dxa"/>
            <w:left w:w="108" w:type="dxa"/>
            <w:bottom w:w="0" w:type="dxa"/>
            <w:right w:w="108" w:type="dxa"/>
          </w:tblCellMar>
        </w:tblPrEx>
        <w:trPr>
          <w:trHeight w:val="915" w:hRule="exact"/>
        </w:trPr>
        <w:tc>
          <w:tcPr>
            <w:tcW w:w="784"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3</w:t>
            </w:r>
          </w:p>
        </w:tc>
        <w:tc>
          <w:tcPr>
            <w:tcW w:w="111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132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财产交易类</w:t>
            </w:r>
          </w:p>
        </w:tc>
        <w:tc>
          <w:tcPr>
            <w:tcW w:w="1069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村民间财产关系证明、租赁关系证明、遗失发票相关情况证明、税务用土地权属证明、分红及股份证明、公证处要求开具的赠与证明和公证证明等系列证明（农村集体土地、房屋赠与除外）、群众申请使用慈善会和基金会资金的审核证明、中华慈善会等慈善机构资助大病要求证明其家庭困难的证明等</w:t>
            </w:r>
            <w:r>
              <w:rPr>
                <w:rFonts w:hint="default" w:ascii="Times New Roman" w:hAnsi="Times New Roman" w:eastAsia="方正仿宋_GBK" w:cs="Times New Roman"/>
                <w:color w:val="000000"/>
                <w:sz w:val="21"/>
                <w:szCs w:val="21"/>
                <w:lang w:eastAsia="zh-CN"/>
              </w:rPr>
              <w:t>。</w:t>
            </w:r>
          </w:p>
        </w:tc>
      </w:tr>
      <w:tr>
        <w:tblPrEx>
          <w:tblCellMar>
            <w:top w:w="0" w:type="dxa"/>
            <w:left w:w="108" w:type="dxa"/>
            <w:bottom w:w="0" w:type="dxa"/>
            <w:right w:w="108" w:type="dxa"/>
          </w:tblCellMar>
        </w:tblPrEx>
        <w:trPr>
          <w:trHeight w:val="666" w:hRule="exact"/>
        </w:trPr>
        <w:tc>
          <w:tcPr>
            <w:tcW w:w="784"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4</w:t>
            </w:r>
          </w:p>
        </w:tc>
        <w:tc>
          <w:tcPr>
            <w:tcW w:w="111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132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居住出行类</w:t>
            </w:r>
          </w:p>
        </w:tc>
        <w:tc>
          <w:tcPr>
            <w:tcW w:w="1069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居住地情况证明、新旧门牌证明、申请港澳定居相关情况证明、加装电梯村民签名为真实性证明、民用水电使用权属及等级证明、住改商证明、出国旅游相关情况证明等</w:t>
            </w:r>
            <w:r>
              <w:rPr>
                <w:rFonts w:hint="default" w:ascii="Times New Roman" w:hAnsi="Times New Roman" w:eastAsia="方正仿宋_GBK" w:cs="Times New Roman"/>
                <w:color w:val="000000"/>
                <w:sz w:val="21"/>
                <w:szCs w:val="21"/>
                <w:lang w:eastAsia="zh-CN"/>
              </w:rPr>
              <w:t>。</w:t>
            </w:r>
          </w:p>
        </w:tc>
      </w:tr>
      <w:tr>
        <w:tblPrEx>
          <w:tblCellMar>
            <w:top w:w="0" w:type="dxa"/>
            <w:left w:w="108" w:type="dxa"/>
            <w:bottom w:w="0" w:type="dxa"/>
            <w:right w:w="108" w:type="dxa"/>
          </w:tblCellMar>
        </w:tblPrEx>
        <w:trPr>
          <w:trHeight w:val="681" w:hRule="exact"/>
        </w:trPr>
        <w:tc>
          <w:tcPr>
            <w:tcW w:w="784"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5</w:t>
            </w:r>
          </w:p>
        </w:tc>
        <w:tc>
          <w:tcPr>
            <w:tcW w:w="111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132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户籍关系类</w:t>
            </w:r>
          </w:p>
        </w:tc>
        <w:tc>
          <w:tcPr>
            <w:tcW w:w="1069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户籍情况证明、申请入户证明、非本户籍出生和死亡证明（公证用）、名字变更情况证明、亲属关系证明、收养关系证明（事实收养除外）、孤寡老人证明等</w:t>
            </w:r>
            <w:r>
              <w:rPr>
                <w:rFonts w:hint="default" w:ascii="Times New Roman" w:hAnsi="Times New Roman" w:eastAsia="方正仿宋_GBK" w:cs="Times New Roman"/>
                <w:color w:val="000000"/>
                <w:sz w:val="21"/>
                <w:szCs w:val="21"/>
                <w:lang w:eastAsia="zh-CN"/>
              </w:rPr>
              <w:t>。</w:t>
            </w:r>
          </w:p>
        </w:tc>
      </w:tr>
      <w:tr>
        <w:tblPrEx>
          <w:tblCellMar>
            <w:top w:w="0" w:type="dxa"/>
            <w:left w:w="108" w:type="dxa"/>
            <w:bottom w:w="0" w:type="dxa"/>
            <w:right w:w="108" w:type="dxa"/>
          </w:tblCellMar>
        </w:tblPrEx>
        <w:trPr>
          <w:trHeight w:val="856" w:hRule="exact"/>
        </w:trPr>
        <w:tc>
          <w:tcPr>
            <w:tcW w:w="7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6</w:t>
            </w:r>
          </w:p>
        </w:tc>
        <w:tc>
          <w:tcPr>
            <w:tcW w:w="111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13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健康疾病类</w:t>
            </w:r>
          </w:p>
        </w:tc>
        <w:tc>
          <w:tcPr>
            <w:tcW w:w="1069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预防接种证明、统筹门诊证明、家庭三代有无遗传性疾病证明、病痛证明、在家跌倒证明、在家死亡证明、死亡需要注销户口的证明、社保年审生存证明等</w:t>
            </w:r>
            <w:r>
              <w:rPr>
                <w:rFonts w:hint="default" w:ascii="Times New Roman" w:hAnsi="Times New Roman" w:eastAsia="方正仿宋_GBK" w:cs="Times New Roman"/>
                <w:color w:val="000000"/>
                <w:sz w:val="21"/>
                <w:szCs w:val="21"/>
                <w:lang w:eastAsia="zh-CN"/>
              </w:rPr>
              <w:t>。</w:t>
            </w:r>
          </w:p>
        </w:tc>
      </w:tr>
      <w:tr>
        <w:tblPrEx>
          <w:tblCellMar>
            <w:top w:w="0" w:type="dxa"/>
            <w:left w:w="108" w:type="dxa"/>
            <w:bottom w:w="0" w:type="dxa"/>
            <w:right w:w="108" w:type="dxa"/>
          </w:tblCellMar>
        </w:tblPrEx>
        <w:trPr>
          <w:trHeight w:val="856" w:hRule="exact"/>
        </w:trPr>
        <w:tc>
          <w:tcPr>
            <w:tcW w:w="13908" w:type="dxa"/>
            <w:gridSpan w:val="4"/>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auto"/>
                <w:sz w:val="21"/>
                <w:szCs w:val="21"/>
              </w:rPr>
              <w:t>涉及省外相关地区、相关单位要求村民委员会出具有关证明的，从方便群众办事出发，村民委员会可根据掌握情况，经集体讨论后决定是否出具有关证明</w:t>
            </w:r>
            <w:r>
              <w:rPr>
                <w:rFonts w:hint="default" w:ascii="Times New Roman" w:hAnsi="Times New Roman" w:eastAsia="方正仿宋_GBK" w:cs="Times New Roman"/>
                <w:color w:val="auto"/>
                <w:sz w:val="21"/>
                <w:szCs w:val="21"/>
                <w:lang w:eastAsia="zh-CN"/>
              </w:rPr>
              <w:t>。</w:t>
            </w:r>
          </w:p>
        </w:tc>
      </w:tr>
      <w:tr>
        <w:tblPrEx>
          <w:tblCellMar>
            <w:top w:w="0" w:type="dxa"/>
            <w:left w:w="108" w:type="dxa"/>
            <w:bottom w:w="0" w:type="dxa"/>
            <w:right w:w="108" w:type="dxa"/>
          </w:tblCellMar>
        </w:tblPrEx>
        <w:trPr>
          <w:trHeight w:val="741" w:hRule="atLeast"/>
        </w:trPr>
        <w:tc>
          <w:tcPr>
            <w:tcW w:w="7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7</w:t>
            </w:r>
          </w:p>
        </w:tc>
        <w:tc>
          <w:tcPr>
            <w:tcW w:w="2430"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考核测评调查类</w:t>
            </w:r>
          </w:p>
        </w:tc>
        <w:tc>
          <w:tcPr>
            <w:tcW w:w="1069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各类未有法律法规规章规定或未经县党委、政府批准的满意度测评调查、统计调查、数据普查等</w:t>
            </w:r>
            <w:r>
              <w:rPr>
                <w:rFonts w:hint="default" w:ascii="Times New Roman" w:hAnsi="Times New Roman" w:eastAsia="方正仿宋_GBK" w:cs="Times New Roman"/>
                <w:color w:val="000000"/>
                <w:sz w:val="21"/>
                <w:szCs w:val="21"/>
                <w:lang w:eastAsia="zh-CN"/>
              </w:rPr>
              <w:t>。</w:t>
            </w:r>
          </w:p>
        </w:tc>
      </w:tr>
      <w:tr>
        <w:tblPrEx>
          <w:tblCellMar>
            <w:top w:w="0" w:type="dxa"/>
            <w:left w:w="108" w:type="dxa"/>
            <w:bottom w:w="0" w:type="dxa"/>
            <w:right w:w="108" w:type="dxa"/>
          </w:tblCellMar>
        </w:tblPrEx>
        <w:trPr>
          <w:trHeight w:val="756" w:hRule="atLeast"/>
        </w:trPr>
        <w:tc>
          <w:tcPr>
            <w:tcW w:w="7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8</w:t>
            </w:r>
          </w:p>
        </w:tc>
        <w:tc>
          <w:tcPr>
            <w:tcW w:w="243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1069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各职能部门单独组织的考核评比活动等（影响村民委员会成员年度民主评议的除外）</w:t>
            </w:r>
          </w:p>
        </w:tc>
      </w:tr>
      <w:tr>
        <w:tblPrEx>
          <w:tblCellMar>
            <w:top w:w="0" w:type="dxa"/>
            <w:left w:w="108" w:type="dxa"/>
            <w:bottom w:w="0" w:type="dxa"/>
            <w:right w:w="108" w:type="dxa"/>
          </w:tblCellMar>
        </w:tblPrEx>
        <w:trPr>
          <w:trHeight w:val="781" w:hRule="atLeast"/>
        </w:trPr>
        <w:tc>
          <w:tcPr>
            <w:tcW w:w="7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9</w:t>
            </w:r>
          </w:p>
        </w:tc>
        <w:tc>
          <w:tcPr>
            <w:tcW w:w="2430"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经济市场管理类</w:t>
            </w:r>
          </w:p>
        </w:tc>
        <w:tc>
          <w:tcPr>
            <w:tcW w:w="1069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招商引资、协税护税、经济创收等任务</w:t>
            </w:r>
            <w:r>
              <w:rPr>
                <w:rFonts w:hint="default" w:ascii="Times New Roman" w:hAnsi="Times New Roman" w:eastAsia="方正仿宋_GBK" w:cs="Times New Roman"/>
                <w:color w:val="000000"/>
                <w:sz w:val="21"/>
                <w:szCs w:val="21"/>
                <w:lang w:eastAsia="zh-CN"/>
              </w:rPr>
              <w:t>。</w:t>
            </w:r>
          </w:p>
        </w:tc>
      </w:tr>
      <w:tr>
        <w:tblPrEx>
          <w:tblCellMar>
            <w:top w:w="0" w:type="dxa"/>
            <w:left w:w="108" w:type="dxa"/>
            <w:bottom w:w="0" w:type="dxa"/>
            <w:right w:w="108" w:type="dxa"/>
          </w:tblCellMar>
        </w:tblPrEx>
        <w:trPr>
          <w:trHeight w:val="706" w:hRule="atLeast"/>
        </w:trPr>
        <w:tc>
          <w:tcPr>
            <w:tcW w:w="784"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10</w:t>
            </w:r>
          </w:p>
        </w:tc>
        <w:tc>
          <w:tcPr>
            <w:tcW w:w="2430" w:type="dxa"/>
            <w:gridSpan w:val="2"/>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1069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各类分配的募捐任务</w:t>
            </w:r>
          </w:p>
        </w:tc>
      </w:tr>
      <w:tr>
        <w:tblPrEx>
          <w:tblCellMar>
            <w:top w:w="0" w:type="dxa"/>
            <w:left w:w="108" w:type="dxa"/>
            <w:bottom w:w="0" w:type="dxa"/>
            <w:right w:w="108" w:type="dxa"/>
          </w:tblCellMar>
        </w:tblPrEx>
        <w:trPr>
          <w:trHeight w:val="751" w:hRule="atLeast"/>
        </w:trPr>
        <w:tc>
          <w:tcPr>
            <w:tcW w:w="784"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11</w:t>
            </w:r>
          </w:p>
        </w:tc>
        <w:tc>
          <w:tcPr>
            <w:tcW w:w="2430" w:type="dxa"/>
            <w:gridSpan w:val="2"/>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1069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各类摊派的报刊、杂志订阅任务</w:t>
            </w:r>
            <w:r>
              <w:rPr>
                <w:rFonts w:hint="default" w:ascii="Times New Roman" w:hAnsi="Times New Roman" w:eastAsia="方正仿宋_GBK" w:cs="Times New Roman"/>
                <w:color w:val="000000"/>
                <w:sz w:val="21"/>
                <w:szCs w:val="21"/>
                <w:lang w:eastAsia="zh-CN"/>
              </w:rPr>
              <w:t>。</w:t>
            </w:r>
          </w:p>
        </w:tc>
      </w:tr>
      <w:tr>
        <w:tblPrEx>
          <w:tblCellMar>
            <w:top w:w="0" w:type="dxa"/>
            <w:left w:w="108" w:type="dxa"/>
            <w:bottom w:w="0" w:type="dxa"/>
            <w:right w:w="108" w:type="dxa"/>
          </w:tblCellMar>
        </w:tblPrEx>
        <w:trPr>
          <w:trHeight w:val="691" w:hRule="atLeast"/>
        </w:trPr>
        <w:tc>
          <w:tcPr>
            <w:tcW w:w="784"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12</w:t>
            </w:r>
          </w:p>
        </w:tc>
        <w:tc>
          <w:tcPr>
            <w:tcW w:w="2430" w:type="dxa"/>
            <w:gridSpan w:val="2"/>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center"/>
              <w:textAlignment w:val="auto"/>
              <w:rPr>
                <w:rFonts w:hint="default" w:ascii="Times New Roman" w:hAnsi="Times New Roman" w:eastAsia="方正仿宋_GBK" w:cs="Times New Roman"/>
                <w:color w:val="000000"/>
                <w:sz w:val="21"/>
                <w:szCs w:val="21"/>
              </w:rPr>
            </w:pPr>
          </w:p>
        </w:tc>
        <w:tc>
          <w:tcPr>
            <w:tcW w:w="1069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各类保险的销售（如涉农商业保险等）</w:t>
            </w:r>
          </w:p>
        </w:tc>
      </w:tr>
      <w:tr>
        <w:tblPrEx>
          <w:tblCellMar>
            <w:top w:w="0" w:type="dxa"/>
            <w:left w:w="108" w:type="dxa"/>
            <w:bottom w:w="0" w:type="dxa"/>
            <w:right w:w="108" w:type="dxa"/>
          </w:tblCellMar>
        </w:tblPrEx>
        <w:trPr>
          <w:trHeight w:val="721" w:hRule="atLeast"/>
        </w:trPr>
        <w:tc>
          <w:tcPr>
            <w:tcW w:w="784"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13</w:t>
            </w:r>
          </w:p>
        </w:tc>
        <w:tc>
          <w:tcPr>
            <w:tcW w:w="2430"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社会秩序管理类</w:t>
            </w:r>
          </w:p>
        </w:tc>
        <w:tc>
          <w:tcPr>
            <w:tcW w:w="1069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道路交通安全（道路交通安全宣传教育除外）</w:t>
            </w:r>
          </w:p>
        </w:tc>
      </w:tr>
      <w:tr>
        <w:tblPrEx>
          <w:tblCellMar>
            <w:top w:w="0" w:type="dxa"/>
            <w:left w:w="108" w:type="dxa"/>
            <w:bottom w:w="0" w:type="dxa"/>
            <w:right w:w="108" w:type="dxa"/>
          </w:tblCellMar>
        </w:tblPrEx>
        <w:trPr>
          <w:trHeight w:val="826" w:hRule="atLeast"/>
        </w:trPr>
        <w:tc>
          <w:tcPr>
            <w:tcW w:w="784"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14</w:t>
            </w:r>
          </w:p>
        </w:tc>
        <w:tc>
          <w:tcPr>
            <w:tcW w:w="2430" w:type="dxa"/>
            <w:gridSpan w:val="2"/>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10694"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与辖区单位签订安全生产责任书</w:t>
            </w:r>
          </w:p>
        </w:tc>
      </w:tr>
      <w:tr>
        <w:tblPrEx>
          <w:tblCellMar>
            <w:top w:w="0" w:type="dxa"/>
            <w:left w:w="108" w:type="dxa"/>
            <w:bottom w:w="0" w:type="dxa"/>
            <w:right w:w="108" w:type="dxa"/>
          </w:tblCellMar>
        </w:tblPrEx>
        <w:trPr>
          <w:trHeight w:val="856" w:hRule="atLeast"/>
        </w:trPr>
        <w:tc>
          <w:tcPr>
            <w:tcW w:w="7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15</w:t>
            </w:r>
          </w:p>
        </w:tc>
        <w:tc>
          <w:tcPr>
            <w:tcW w:w="243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1069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lang w:eastAsia="zh-CN"/>
              </w:rPr>
            </w:pPr>
            <w:r>
              <w:rPr>
                <w:rFonts w:hint="default" w:ascii="Times New Roman" w:hAnsi="Times New Roman" w:eastAsia="方正仿宋_GBK" w:cs="Times New Roman"/>
                <w:color w:val="000000"/>
                <w:sz w:val="21"/>
                <w:szCs w:val="21"/>
              </w:rPr>
              <w:t>以村为责任主体的各类行政执法（如排查登记各类生产经营单位安全与违法行为、排查食品药品安全隐患与违法违规行为、计划生育执法等）</w:t>
            </w:r>
            <w:r>
              <w:rPr>
                <w:rFonts w:hint="default" w:ascii="Times New Roman" w:hAnsi="Times New Roman" w:eastAsia="方正仿宋_GBK" w:cs="Times New Roman"/>
                <w:color w:val="000000"/>
                <w:sz w:val="21"/>
                <w:szCs w:val="21"/>
                <w:lang w:eastAsia="zh-CN"/>
              </w:rPr>
              <w:t>。</w:t>
            </w:r>
          </w:p>
        </w:tc>
      </w:tr>
      <w:tr>
        <w:tblPrEx>
          <w:tblCellMar>
            <w:top w:w="0" w:type="dxa"/>
            <w:left w:w="108" w:type="dxa"/>
            <w:bottom w:w="0" w:type="dxa"/>
            <w:right w:w="108" w:type="dxa"/>
          </w:tblCellMar>
        </w:tblPrEx>
        <w:trPr>
          <w:trHeight w:val="856" w:hRule="atLeast"/>
        </w:trPr>
        <w:tc>
          <w:tcPr>
            <w:tcW w:w="7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16</w:t>
            </w:r>
          </w:p>
        </w:tc>
        <w:tc>
          <w:tcPr>
            <w:tcW w:w="243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p>
        </w:tc>
        <w:tc>
          <w:tcPr>
            <w:tcW w:w="1069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sz w:val="21"/>
                <w:szCs w:val="21"/>
              </w:rPr>
              <w:t>行业管理（如食品加工小作坊和食品摊贩、小理发美容店、小旅店、沐足、小歌舞厅影剧院等）</w:t>
            </w:r>
          </w:p>
        </w:tc>
      </w:tr>
    </w:tbl>
    <w:p>
      <w:pPr>
        <w:rPr>
          <w:rFonts w:hint="eastAsia" w:ascii="方正仿宋_GBK" w:hAnsi="方正仿宋_GBK" w:eastAsia="方正仿宋_GBK" w:cs="方正仿宋_GBK"/>
          <w:color w:val="000000"/>
          <w:sz w:val="32"/>
          <w:szCs w:val="32"/>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4A518E"/>
    <w:rsid w:val="1D115C73"/>
    <w:rsid w:val="283429F1"/>
    <w:rsid w:val="374A518E"/>
    <w:rsid w:val="78641449"/>
    <w:rsid w:val="7FD92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Calibri" w:eastAsia="仿宋_GB2312" w:cs="Times New Roman"/>
      <w:color w:val="000000"/>
      <w:sz w:val="24"/>
      <w:szCs w:val="22"/>
      <w:lang w:val="en-US" w:eastAsia="zh-CN" w:bidi="ar-SA"/>
    </w:rPr>
  </w:style>
  <w:style w:type="paragraph" w:styleId="3">
    <w:name w:val="Normal Indent"/>
    <w:basedOn w:val="1"/>
    <w:qFormat/>
    <w:uiPriority w:val="0"/>
    <w:pPr>
      <w:ind w:firstLine="420" w:firstLineChars="200"/>
    </w:pPr>
    <w:rPr>
      <w:rFonts w:ascii="Calibri" w:hAnsi="Calibri"/>
      <w:sz w:val="21"/>
      <w:szCs w:val="24"/>
    </w:rPr>
  </w:style>
  <w:style w:type="paragraph" w:styleId="4">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大亚湾经济技术开发区</Company>
  <Pages>1</Pages>
  <Words>0</Words>
  <Characters>0</Characters>
  <Lines>0</Lines>
  <Paragraphs>0</Paragraphs>
  <TotalTime>1</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2023-02-17T07:09:00Z</dcterms:created>
  <dc:creator>ienovo</dc:creator>
  <cp:lastModifiedBy>ienovo</cp:lastModifiedBy>
  <dcterms:modified xsi:type="dcterms:W3CDTF">2023-02-17T07:18:24Z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4F41BF9D92D8460BA759D1D932D148D7</vt:lpwstr>
  </property>
</Properties>
</file>