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43"/>
          <w:szCs w:val="43"/>
          <w14:textOutline w14:w="7813" w14:cap="sq" w14:cmpd="sng">
            <w14:solidFill>
              <w14:srgbClr w14:val="000000"/>
            </w14:solidFill>
            <w14:prstDash w14:val="solid"/>
            <w14:bevel/>
          </w14:textOutline>
        </w:rPr>
      </w:pPr>
      <w:bookmarkStart w:id="11" w:name="_GoBack"/>
      <w:bookmarkEnd w:id="11"/>
      <w:r>
        <w:rPr>
          <w:rFonts w:hint="eastAsia" w:ascii="黑体" w:hAnsi="黑体" w:eastAsia="黑体" w:cs="黑体"/>
          <w:snapToGrid w:val="0"/>
          <w:color w:val="000000"/>
          <w:spacing w:val="-16"/>
          <w:kern w:val="0"/>
          <w:sz w:val="43"/>
          <w:szCs w:val="43"/>
          <w14:textOutline w14:w="7813" w14:cap="sq" w14:cmpd="sng">
            <w14:solidFill>
              <w14:srgbClr w14:val="000000"/>
            </w14:solidFill>
            <w14:prstDash w14:val="solid"/>
            <w14:bevel/>
          </w14:textOutline>
        </w:rPr>
        <w:t>惠州市惠阳区2023年度土地征收成片开发方案</w:t>
      </w:r>
    </w:p>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35"/>
          <w:szCs w:val="35"/>
          <w:lang w:eastAsia="zh-CN"/>
          <w14:textOutline w14:w="7813" w14:cap="sq" w14:cmpd="sng">
            <w14:solidFill>
              <w14:srgbClr w14:val="000000"/>
            </w14:solidFill>
            <w14:prstDash w14:val="solid"/>
            <w14:bevel/>
          </w14:textOutline>
        </w:rPr>
      </w:pPr>
      <w:r>
        <w:rPr>
          <w:rFonts w:hint="eastAsia" w:ascii="黑体" w:hAnsi="黑体" w:eastAsia="黑体" w:cs="黑体"/>
          <w:snapToGrid w:val="0"/>
          <w:color w:val="000000"/>
          <w:spacing w:val="-16"/>
          <w:kern w:val="0"/>
          <w:sz w:val="35"/>
          <w:szCs w:val="35"/>
          <w:lang w:eastAsia="zh-CN"/>
          <w14:textOutline w14:w="7813" w14:cap="sq" w14:cmpd="sng">
            <w14:solidFill>
              <w14:srgbClr w14:val="000000"/>
            </w14:solidFill>
            <w14:prstDash w14:val="solid"/>
            <w14:bevel/>
          </w14:textOutline>
        </w:rPr>
        <w:t>（第一批）</w:t>
      </w:r>
    </w:p>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35"/>
          <w:szCs w:val="35"/>
          <w14:textOutline w14:w="7813" w14:cap="sq" w14:cmpd="sng">
            <w14:solidFill>
              <w14:srgbClr w14:val="000000"/>
            </w14:solidFill>
            <w14:prstDash w14:val="solid"/>
            <w14:bevel/>
          </w14:textOutline>
        </w:rPr>
      </w:pPr>
      <w:r>
        <w:rPr>
          <w:rFonts w:hint="eastAsia" w:ascii="黑体" w:hAnsi="黑体" w:eastAsia="黑体" w:cs="黑体"/>
          <w:snapToGrid w:val="0"/>
          <w:color w:val="000000"/>
          <w:spacing w:val="-16"/>
          <w:kern w:val="0"/>
          <w:sz w:val="35"/>
          <w:szCs w:val="35"/>
          <w14:textOutline w14:w="7813" w14:cap="sq" w14:cmpd="sng">
            <w14:solidFill>
              <w14:srgbClr w14:val="000000"/>
            </w14:solidFill>
            <w14:prstDash w14:val="solid"/>
            <w14:bevel/>
          </w14:textOutline>
        </w:rPr>
        <w:t>(征求意见稿)</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default" w:ascii="仿宋" w:hAnsi="仿宋" w:eastAsia="仿宋" w:cs="仿宋"/>
          <w:snapToGrid w:val="0"/>
          <w:color w:val="000000"/>
          <w:spacing w:val="7"/>
          <w:kern w:val="0"/>
          <w:position w:val="3"/>
          <w:sz w:val="31"/>
          <w:szCs w:val="31"/>
          <w14:textOutline w14:w="5793" w14:cap="sq" w14:cmpd="sng">
            <w14:solidFill>
              <w14:srgbClr w14:val="000000"/>
            </w14:solidFill>
            <w14:prstDash w14:val="solid"/>
            <w14:bevel/>
          </w14:textOutline>
        </w:rPr>
      </w:pPr>
      <w:bookmarkStart w:id="0" w:name="_Toc29134"/>
      <w:r>
        <w:rPr>
          <w:rFonts w:hint="default" w:ascii="仿宋" w:hAnsi="仿宋" w:eastAsia="仿宋" w:cs="仿宋"/>
          <w:snapToGrid w:val="0"/>
          <w:color w:val="000000"/>
          <w:spacing w:val="7"/>
          <w:kern w:val="0"/>
          <w:position w:val="3"/>
          <w:sz w:val="31"/>
          <w:szCs w:val="31"/>
          <w14:textOutline w14:w="5793" w14:cap="sq" w14:cmpd="sng">
            <w14:solidFill>
              <w14:srgbClr w14:val="000000"/>
            </w14:solidFill>
            <w14:prstDash w14:val="solid"/>
            <w14:bevel/>
          </w14:textOutline>
        </w:rPr>
        <w:t>编制依据</w:t>
      </w:r>
      <w:bookmarkEnd w:id="0"/>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default" w:ascii="仿宋" w:hAnsi="仿宋" w:eastAsia="仿宋" w:cs="仿宋"/>
          <w:snapToGrid w:val="0"/>
          <w:color w:val="000000"/>
          <w:spacing w:val="5"/>
          <w:kern w:val="0"/>
          <w:sz w:val="31"/>
          <w:szCs w:val="31"/>
        </w:rPr>
      </w:pPr>
      <w:r>
        <w:rPr>
          <w:rFonts w:hint="default" w:ascii="仿宋" w:hAnsi="仿宋" w:eastAsia="仿宋" w:cs="仿宋"/>
          <w:snapToGrid w:val="0"/>
          <w:color w:val="000000"/>
          <w:spacing w:val="5"/>
          <w:kern w:val="0"/>
          <w:sz w:val="31"/>
          <w:szCs w:val="31"/>
        </w:rPr>
        <w:t>根据《中华人民共和国土地管理法》</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自然资源部《关于印发〈土地征收成片开发标准</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试行</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自然资规〔2020〕5号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《广东省自然资源厅关于规范土地征收成片开发工作的通知》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自然资发〔2021〕20号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《惠州市自然资源局关于规范成片开发建设用地审批工作的通知》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惠市自然资函〔2021〕1968号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等有关文件和惠州市相关工作部署安排，结合惠阳区国民经济和社会发展规划</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在编的国土空间规划，为充分保障被征地农民合法权益，保障重点项目落地，促进土地资源节约、集约、高效利用，促进产业发展，提高当地居民生活水平，我区组织编制了</w:t>
      </w:r>
      <w:r>
        <w:rPr>
          <w:rFonts w:hint="eastAsia" w:ascii="仿宋" w:hAnsi="仿宋" w:eastAsia="仿宋" w:cs="仿宋"/>
          <w:snapToGrid w:val="0"/>
          <w:color w:val="000000"/>
          <w:spacing w:val="5"/>
          <w:kern w:val="0"/>
          <w:sz w:val="31"/>
          <w:szCs w:val="31"/>
          <w:lang w:eastAsia="zh-CN"/>
        </w:rPr>
        <w:t>《惠州市惠阳区2023年度土地征收成片开发方案（第一批）》</w:t>
      </w:r>
      <w:r>
        <w:rPr>
          <w:rFonts w:hint="default" w:ascii="仿宋" w:hAnsi="仿宋" w:eastAsia="仿宋" w:cs="仿宋"/>
          <w:snapToGrid w:val="0"/>
          <w:color w:val="000000"/>
          <w:spacing w:val="5"/>
          <w:kern w:val="0"/>
          <w:sz w:val="31"/>
          <w:szCs w:val="31"/>
        </w:rPr>
        <w:t>。</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pPr>
      <w:bookmarkStart w:id="1" w:name="_Toc16425"/>
      <w:r>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t>基本情况</w:t>
      </w:r>
      <w:bookmarkEnd w:id="1"/>
    </w:p>
    <w:p>
      <w:pPr>
        <w:widowControl/>
        <w:numPr>
          <w:ilvl w:val="0"/>
          <w:numId w:val="2"/>
        </w:numPr>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区域位置</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beforeAutospacing="0" w:after="0" w:afterLines="0" w:afterAutospacing="0" w:line="375" w:lineRule="auto"/>
        <w:ind w:left="0" w:right="0" w:firstLine="640" w:firstLineChars="200"/>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范围位于大亚湾开发区，地处广东省惠州市南部，毗邻深圳坪山区，距离香港47海里、深圳市中心约60公里、东莞市中心约120公里，拥有良好的投资营商环境和城市依托，是珠三角东岸地区唯一的石油化工基地。</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beforeAutospacing="0" w:after="0" w:afterLines="0" w:afterAutospacing="0" w:line="375" w:lineRule="auto"/>
        <w:ind w:left="0" w:right="0" w:firstLine="696" w:firstLineChars="200"/>
        <w:jc w:val="left"/>
        <w:textAlignment w:val="baseline"/>
        <w:rPr>
          <w:rFonts w:hint="eastAsia" w:ascii="仿宋" w:hAnsi="仿宋" w:eastAsia="仿宋" w:cs="仿宋"/>
          <w:snapToGrid w:val="0"/>
          <w:color w:val="000000"/>
          <w:spacing w:val="19"/>
          <w:kern w:val="0"/>
          <w:sz w:val="31"/>
          <w:szCs w:val="31"/>
          <w:lang w:val="en-US" w:eastAsia="zh-CN"/>
        </w:rPr>
      </w:pPr>
      <w:r>
        <w:rPr>
          <w:rFonts w:hint="eastAsia" w:ascii="仿宋" w:hAnsi="仿宋" w:eastAsia="仿宋" w:cs="仿宋"/>
          <w:snapToGrid w:val="0"/>
          <w:color w:val="000000"/>
          <w:spacing w:val="19"/>
          <w:kern w:val="0"/>
          <w:sz w:val="31"/>
          <w:szCs w:val="31"/>
          <w:lang w:val="en-US" w:eastAsia="zh-CN"/>
        </w:rPr>
        <w:t>本次土地征收成片开发范围共涉及2个街道，分别为西区街道和霞涌街道。共划定4个成片开发片区，分别为石化区产业拓展区、霞涌义联Ⅱ号片区、石化拓展区搬迁安置区以及塘横首开区，片区概况详见下表：</w:t>
      </w:r>
    </w:p>
    <w:p>
      <w:pPr>
        <w:widowControl/>
        <w:kinsoku w:val="0"/>
        <w:autoSpaceDE w:val="0"/>
        <w:autoSpaceDN w:val="0"/>
        <w:adjustRightInd w:val="0"/>
        <w:snapToGrid w:val="0"/>
        <w:spacing w:beforeLines="-2147483648" w:afterLines="-2147483648" w:line="223" w:lineRule="auto"/>
        <w:ind w:left="3605"/>
        <w:jc w:val="left"/>
        <w:textAlignment w:val="baseline"/>
        <w:rPr>
          <w:rFonts w:hint="eastAsia" w:ascii="仿宋" w:hAnsi="仿宋" w:eastAsia="仿宋" w:cs="仿宋"/>
          <w:snapToGrid w:val="0"/>
          <w:color w:val="000000"/>
          <w:spacing w:val="-3"/>
          <w:kern w:val="0"/>
          <w:sz w:val="22"/>
          <w:szCs w:val="22"/>
          <w:lang w:val="en-US" w:eastAsia="zh-CN"/>
        </w:rPr>
      </w:pPr>
      <w:r>
        <w:rPr>
          <w:rFonts w:hint="eastAsia" w:ascii="仿宋" w:hAnsi="仿宋" w:eastAsia="仿宋" w:cs="仿宋"/>
          <w:snapToGrid w:val="0"/>
          <w:color w:val="000000"/>
          <w:spacing w:val="-3"/>
          <w:kern w:val="0"/>
          <w:sz w:val="22"/>
          <w:szCs w:val="22"/>
          <w:lang w:val="en-US" w:eastAsia="zh-CN"/>
        </w:rPr>
        <w:t>表1 片区概况汇总表</w:t>
      </w:r>
    </w:p>
    <w:tbl>
      <w:tblPr>
        <w:tblStyle w:val="9"/>
        <w:tblW w:w="830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81"/>
        <w:gridCol w:w="1744"/>
        <w:gridCol w:w="41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1" w:beforeLines="0" w:afterLines="0" w:line="229" w:lineRule="auto"/>
              <w:ind w:left="79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6"/>
                <w:kern w:val="0"/>
                <w:sz w:val="20"/>
                <w:szCs w:val="20"/>
              </w:rPr>
              <w:t>片</w:t>
            </w:r>
            <w:r>
              <w:rPr>
                <w:rFonts w:hint="eastAsia" w:ascii="仿宋" w:hAnsi="仿宋" w:eastAsia="仿宋" w:cs="仿宋"/>
                <w:snapToGrid w:val="0"/>
                <w:color w:val="000000"/>
                <w:spacing w:val="5"/>
                <w:kern w:val="0"/>
                <w:sz w:val="20"/>
                <w:szCs w:val="20"/>
              </w:rPr>
              <w:t>区名称</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0" w:beforeLines="0" w:afterLines="0" w:line="232" w:lineRule="auto"/>
              <w:ind w:left="21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5"/>
                <w:kern w:val="0"/>
                <w:sz w:val="20"/>
                <w:szCs w:val="20"/>
              </w:rPr>
              <w:t>总面积 (公顷</w:t>
            </w:r>
            <w:r>
              <w:rPr>
                <w:rFonts w:hint="eastAsia" w:ascii="仿宋" w:hAnsi="仿宋" w:eastAsia="仿宋" w:cs="仿宋"/>
                <w:snapToGrid w:val="0"/>
                <w:color w:val="000000"/>
                <w:spacing w:val="4"/>
                <w:kern w:val="0"/>
                <w:sz w:val="20"/>
                <w:szCs w:val="20"/>
              </w:rPr>
              <w:t>)</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1" w:beforeLines="0" w:afterLines="0" w:line="230" w:lineRule="auto"/>
              <w:ind w:left="213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3"/>
                <w:kern w:val="0"/>
                <w:sz w:val="20"/>
                <w:szCs w:val="20"/>
              </w:rPr>
              <w:t>位</w:t>
            </w:r>
            <w:r>
              <w:rPr>
                <w:rFonts w:hint="eastAsia" w:ascii="仿宋" w:hAnsi="仿宋" w:eastAsia="仿宋" w:cs="仿宋"/>
                <w:snapToGrid w:val="0"/>
                <w:color w:val="000000"/>
                <w:spacing w:val="2"/>
                <w:kern w:val="0"/>
                <w:sz w:val="20"/>
                <w:szCs w:val="20"/>
              </w:rPr>
              <w:t>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12" w:beforeLines="0" w:afterLines="0" w:line="22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石化区产业拓展区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51"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2"/>
                <w:kern w:val="0"/>
                <w:sz w:val="19"/>
                <w:szCs w:val="19"/>
                <w:lang w:val="en-US" w:eastAsia="zh-CN"/>
              </w:rPr>
              <w:t>45.3215</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tabs>
                <w:tab w:val="center" w:pos="2088"/>
              </w:tabs>
              <w:kinsoku w:val="0"/>
              <w:autoSpaceDE w:val="0"/>
              <w:autoSpaceDN w:val="0"/>
              <w:adjustRightInd w:val="0"/>
              <w:snapToGrid w:val="0"/>
              <w:spacing w:before="212" w:beforeLines="0" w:afterLines="0" w:line="223" w:lineRule="auto"/>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lang w:eastAsia="zh-CN"/>
              </w:rPr>
              <w:t>霞涌居委会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2" w:beforeLines="0" w:afterLines="0" w:line="210"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霞涌义联Ⅱ号片区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29"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2"/>
                <w:kern w:val="0"/>
                <w:sz w:val="19"/>
                <w:szCs w:val="19"/>
                <w:lang w:val="en-US" w:eastAsia="zh-CN"/>
              </w:rPr>
              <w:t>0.1723</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89" w:beforeLines="0" w:afterLines="0" w:line="213" w:lineRule="auto"/>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lang w:eastAsia="zh-CN"/>
              </w:rPr>
              <w:t>义联村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03" w:beforeLines="0" w:afterLines="0" w:line="220"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石化拓展区搬迁安置区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9"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17.7993</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00" w:beforeLines="0" w:afterLines="0" w:line="22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rPr>
              <w:t>新</w:t>
            </w:r>
            <w:r>
              <w:rPr>
                <w:rFonts w:hint="eastAsia" w:ascii="仿宋" w:hAnsi="仿宋" w:eastAsia="仿宋" w:cs="仿宋"/>
                <w:snapToGrid w:val="0"/>
                <w:color w:val="000000"/>
                <w:kern w:val="0"/>
                <w:sz w:val="19"/>
                <w:szCs w:val="19"/>
                <w:lang w:eastAsia="zh-CN"/>
              </w:rPr>
              <w:t>畲</w:t>
            </w:r>
            <w:r>
              <w:rPr>
                <w:rFonts w:hint="eastAsia" w:ascii="仿宋" w:hAnsi="仿宋" w:eastAsia="仿宋" w:cs="仿宋"/>
                <w:snapToGrid w:val="0"/>
                <w:color w:val="000000"/>
                <w:kern w:val="0"/>
                <w:sz w:val="19"/>
                <w:szCs w:val="19"/>
              </w:rPr>
              <w:t>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2" w:beforeLines="0" w:afterLines="0" w:line="22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塘横首开区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29"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2"/>
                <w:kern w:val="0"/>
                <w:sz w:val="19"/>
                <w:szCs w:val="19"/>
                <w:lang w:val="en-US" w:eastAsia="zh-CN"/>
              </w:rPr>
              <w:t>4.5517</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0" w:beforeLines="0" w:afterLines="0" w:line="22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rPr>
              <w:t>塘横村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55" w:beforeLines="0" w:afterLines="0" w:line="225" w:lineRule="auto"/>
              <w:ind w:left="1011"/>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2"/>
                <w:kern w:val="0"/>
                <w:sz w:val="19"/>
                <w:szCs w:val="19"/>
              </w:rPr>
              <w:t>总计</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7"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6"/>
                <w:kern w:val="0"/>
                <w:sz w:val="19"/>
                <w:szCs w:val="19"/>
                <w:lang w:val="en-US" w:eastAsia="zh-CN"/>
              </w:rPr>
              <w:t>67.8448</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81" w:beforeLines="0" w:afterLines="0" w:line="106" w:lineRule="exact"/>
              <w:ind w:left="2028"/>
              <w:jc w:val="left"/>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spacing w:val="-2"/>
                <w:kern w:val="0"/>
                <w:position w:val="-1"/>
                <w:sz w:val="19"/>
                <w:szCs w:val="19"/>
              </w:rPr>
              <w:t>--</w:t>
            </w:r>
          </w:p>
        </w:tc>
      </w:tr>
    </w:tbl>
    <w:p>
      <w:pPr>
        <w:widowControl/>
        <w:numPr>
          <w:ilvl w:val="0"/>
          <w:numId w:val="2"/>
        </w:numPr>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开发范围</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根据惠阳区2021年度国土变更调查数据，本次土地征收成片开发总面积为67.8448公顷，其中农用地面积42.8470公顷，建设用地面积22.8849公顷，未利用地面积为2.1129公顷。</w:t>
      </w:r>
    </w:p>
    <w:p>
      <w:pPr>
        <w:widowControl/>
        <w:kinsoku w:val="0"/>
        <w:autoSpaceDE w:val="0"/>
        <w:autoSpaceDN w:val="0"/>
        <w:adjustRightInd w:val="0"/>
        <w:snapToGrid w:val="0"/>
        <w:spacing w:before="198" w:beforeLines="-2147483648" w:afterLines="-2147483648" w:line="209" w:lineRule="auto"/>
        <w:ind w:left="2561"/>
        <w:jc w:val="left"/>
        <w:textAlignment w:val="baseline"/>
        <w:rPr>
          <w:rFonts w:hint="eastAsia" w:ascii="仿宋" w:hAnsi="仿宋" w:eastAsia="仿宋" w:cs="仿宋"/>
          <w:snapToGrid w:val="0"/>
          <w:color w:val="000000"/>
          <w:spacing w:val="-2"/>
          <w:kern w:val="0"/>
          <w:sz w:val="22"/>
          <w:szCs w:val="22"/>
        </w:rPr>
      </w:pPr>
      <w:r>
        <w:rPr>
          <w:rFonts w:hint="eastAsia" w:ascii="仿宋" w:hAnsi="仿宋" w:eastAsia="仿宋" w:cs="仿宋"/>
          <w:snapToGrid w:val="0"/>
          <w:color w:val="000000"/>
          <w:spacing w:val="-2"/>
          <w:kern w:val="0"/>
          <w:sz w:val="22"/>
          <w:szCs w:val="22"/>
        </w:rPr>
        <w:t>表</w:t>
      </w:r>
      <w:r>
        <w:rPr>
          <w:rFonts w:hint="default" w:ascii="仿宋" w:hAnsi="仿宋" w:eastAsia="仿宋" w:cs="仿宋"/>
          <w:snapToGrid w:val="0"/>
          <w:color w:val="000000"/>
          <w:spacing w:val="-2"/>
          <w:kern w:val="0"/>
          <w:sz w:val="22"/>
          <w:szCs w:val="22"/>
        </w:rPr>
        <w:t>2</w:t>
      </w:r>
      <w:r>
        <w:rPr>
          <w:rFonts w:hint="eastAsia" w:ascii="仿宋" w:hAnsi="仿宋" w:eastAsia="仿宋" w:cs="仿宋"/>
          <w:snapToGrid w:val="0"/>
          <w:color w:val="000000"/>
          <w:spacing w:val="-2"/>
          <w:kern w:val="0"/>
          <w:sz w:val="22"/>
          <w:szCs w:val="22"/>
          <w:lang w:val="en-US" w:eastAsia="zh-CN"/>
        </w:rPr>
        <w:t xml:space="preserve"> </w:t>
      </w:r>
      <w:r>
        <w:rPr>
          <w:rFonts w:hint="eastAsia" w:ascii="仿宋" w:hAnsi="仿宋" w:eastAsia="仿宋" w:cs="仿宋"/>
          <w:snapToGrid w:val="0"/>
          <w:color w:val="000000"/>
          <w:spacing w:val="-2"/>
          <w:kern w:val="0"/>
          <w:sz w:val="22"/>
          <w:szCs w:val="22"/>
        </w:rPr>
        <w:t>成片开发范围的土地利用现状汇总表</w:t>
      </w:r>
    </w:p>
    <w:tbl>
      <w:tblPr>
        <w:tblStyle w:val="9"/>
        <w:tblW w:w="88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1"/>
        <w:gridCol w:w="1747"/>
        <w:gridCol w:w="1751"/>
        <w:gridCol w:w="1749"/>
        <w:gridCol w:w="18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3" w:lineRule="auto"/>
              <w:ind w:left="243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地类</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3" w:beforeLines="0" w:afterLines="0" w:line="232" w:lineRule="auto"/>
              <w:ind w:left="288"/>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面积 (公顷)</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3" w:beforeLines="0" w:afterLines="0" w:line="232" w:lineRule="auto"/>
              <w:ind w:left="353"/>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4"/>
                <w:kern w:val="0"/>
                <w:sz w:val="19"/>
                <w:szCs w:val="19"/>
              </w:rPr>
              <w:t>占</w:t>
            </w:r>
            <w:r>
              <w:rPr>
                <w:rFonts w:hint="eastAsia" w:ascii="仿宋" w:hAnsi="仿宋" w:eastAsia="仿宋" w:cs="仿宋"/>
                <w:snapToGrid w:val="0"/>
                <w:color w:val="000000"/>
                <w:spacing w:val="2"/>
                <w:kern w:val="0"/>
                <w:sz w:val="19"/>
                <w:szCs w:val="19"/>
              </w:rPr>
              <w:t>总用地比例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restart"/>
            <w:tcBorders>
              <w:top w:val="single" w:color="000000" w:sz="2" w:space="0"/>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62" w:beforeLines="0" w:afterLines="0" w:line="233" w:lineRule="auto"/>
              <w:ind w:left="585"/>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农用地</w:t>
            </w:r>
          </w:p>
        </w:tc>
        <w:tc>
          <w:tcPr>
            <w:tcW w:w="1747" w:type="dxa"/>
            <w:vMerge w:val="restart"/>
            <w:tcBorders>
              <w:top w:val="single" w:color="000000" w:sz="2" w:space="0"/>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line="32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32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61" w:beforeLines="0" w:afterLines="0" w:line="233" w:lineRule="auto"/>
              <w:ind w:left="681"/>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耕</w:t>
            </w:r>
            <w:r>
              <w:rPr>
                <w:rFonts w:hint="eastAsia" w:ascii="仿宋" w:hAnsi="仿宋" w:eastAsia="仿宋" w:cs="仿宋"/>
                <w:snapToGrid w:val="0"/>
                <w:color w:val="000000"/>
                <w:spacing w:val="2"/>
                <w:kern w:val="0"/>
                <w:sz w:val="19"/>
                <w:szCs w:val="19"/>
              </w:rPr>
              <w:t>地</w:t>
            </w: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2" w:lineRule="auto"/>
              <w:ind w:left="68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水</w:t>
            </w:r>
            <w:r>
              <w:rPr>
                <w:rFonts w:hint="eastAsia" w:ascii="仿宋" w:hAnsi="仿宋" w:eastAsia="仿宋" w:cs="仿宋"/>
                <w:snapToGrid w:val="0"/>
                <w:color w:val="000000"/>
                <w:spacing w:val="2"/>
                <w:kern w:val="0"/>
                <w:sz w:val="19"/>
                <w:szCs w:val="19"/>
              </w:rPr>
              <w:t>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0.9687</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4"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1" w:beforeLines="0" w:afterLines="0" w:line="232" w:lineRule="auto"/>
              <w:ind w:left="585"/>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水</w:t>
            </w:r>
            <w:r>
              <w:rPr>
                <w:rFonts w:hint="eastAsia" w:ascii="仿宋" w:hAnsi="仿宋" w:eastAsia="仿宋" w:cs="仿宋"/>
                <w:snapToGrid w:val="0"/>
                <w:color w:val="000000"/>
                <w:spacing w:val="5"/>
                <w:kern w:val="0"/>
                <w:sz w:val="19"/>
                <w:szCs w:val="19"/>
              </w:rPr>
              <w:t>浇地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4.9206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7.25%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9" w:beforeLines="0" w:afterLines="0" w:line="231" w:lineRule="auto"/>
              <w:ind w:left="69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旱</w:t>
            </w:r>
            <w:r>
              <w:rPr>
                <w:rFonts w:hint="eastAsia" w:ascii="仿宋" w:hAnsi="仿宋" w:eastAsia="仿宋" w:cs="仿宋"/>
                <w:snapToGrid w:val="0"/>
                <w:color w:val="000000"/>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0.2103</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3"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1" w:beforeLines="0" w:afterLines="0" w:line="231" w:lineRule="auto"/>
              <w:ind w:left="68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小</w:t>
            </w:r>
            <w:r>
              <w:rPr>
                <w:rFonts w:hint="eastAsia" w:ascii="仿宋" w:hAnsi="仿宋" w:eastAsia="仿宋" w:cs="仿宋"/>
                <w:snapToGrid w:val="0"/>
                <w:color w:val="000000"/>
                <w:spacing w:val="2"/>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6.0996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8.99%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2" w:lineRule="auto"/>
              <w:ind w:left="157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园</w:t>
            </w:r>
            <w:r>
              <w:rPr>
                <w:rFonts w:hint="eastAsia" w:ascii="仿宋" w:hAnsi="仿宋" w:eastAsia="仿宋" w:cs="仿宋"/>
                <w:snapToGrid w:val="0"/>
                <w:color w:val="000000"/>
                <w:spacing w:val="-7"/>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20.5136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4"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30.23%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2" w:beforeLines="0" w:afterLines="0" w:line="231" w:lineRule="auto"/>
              <w:ind w:left="155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林</w:t>
            </w:r>
            <w:r>
              <w:rPr>
                <w:rFonts w:hint="eastAsia" w:ascii="仿宋" w:hAnsi="仿宋" w:eastAsia="仿宋" w:cs="仿宋"/>
                <w:snapToGrid w:val="0"/>
                <w:color w:val="000000"/>
                <w:spacing w:val="2"/>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5.8561</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8.63%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2" w:beforeLines="0" w:afterLines="0" w:line="231" w:lineRule="auto"/>
              <w:ind w:left="1557"/>
              <w:jc w:val="left"/>
              <w:textAlignment w:val="baseline"/>
              <w:rPr>
                <w:rFonts w:hint="eastAsia" w:ascii="仿宋" w:hAnsi="仿宋" w:eastAsia="仿宋" w:cs="仿宋"/>
                <w:snapToGrid w:val="0"/>
                <w:color w:val="000000"/>
                <w:spacing w:val="3"/>
                <w:kern w:val="0"/>
                <w:sz w:val="19"/>
                <w:szCs w:val="19"/>
                <w:lang w:eastAsia="zh-CN"/>
              </w:rPr>
            </w:pPr>
            <w:r>
              <w:rPr>
                <w:rFonts w:hint="eastAsia" w:ascii="仿宋" w:hAnsi="仿宋" w:eastAsia="仿宋" w:cs="仿宋"/>
                <w:snapToGrid w:val="0"/>
                <w:color w:val="000000"/>
                <w:spacing w:val="3"/>
                <w:kern w:val="0"/>
                <w:sz w:val="19"/>
                <w:szCs w:val="19"/>
                <w:lang w:eastAsia="zh-CN"/>
              </w:rPr>
              <w:t>草地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8.4382</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12.44%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1" w:lineRule="auto"/>
              <w:ind w:left="1259"/>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9"/>
                <w:kern w:val="0"/>
                <w:sz w:val="19"/>
                <w:szCs w:val="19"/>
              </w:rPr>
              <w:t>其</w:t>
            </w:r>
            <w:r>
              <w:rPr>
                <w:rFonts w:hint="eastAsia" w:ascii="仿宋" w:hAnsi="仿宋" w:eastAsia="仿宋" w:cs="仿宋"/>
                <w:snapToGrid w:val="0"/>
                <w:color w:val="000000"/>
                <w:spacing w:val="6"/>
                <w:kern w:val="0"/>
                <w:sz w:val="19"/>
                <w:szCs w:val="19"/>
              </w:rPr>
              <w:t>他农用地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1.9395</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1" w:lineRule="auto"/>
              <w:ind w:left="155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小</w:t>
            </w:r>
            <w:r>
              <w:rPr>
                <w:rFonts w:hint="eastAsia" w:ascii="仿宋" w:hAnsi="仿宋" w:eastAsia="仿宋" w:cs="仿宋"/>
                <w:snapToGrid w:val="0"/>
                <w:color w:val="000000"/>
                <w:spacing w:val="2"/>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42.8470</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63.15%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3" w:lineRule="auto"/>
              <w:ind w:left="223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建</w:t>
            </w:r>
            <w:r>
              <w:rPr>
                <w:rFonts w:hint="eastAsia" w:ascii="仿宋" w:hAnsi="仿宋" w:eastAsia="仿宋" w:cs="仿宋"/>
                <w:snapToGrid w:val="0"/>
                <w:color w:val="000000"/>
                <w:spacing w:val="6"/>
                <w:kern w:val="0"/>
                <w:sz w:val="19"/>
                <w:szCs w:val="19"/>
              </w:rPr>
              <w:t>设用地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22.8849</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8"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33.73%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1" w:lineRule="auto"/>
              <w:ind w:left="223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未利用地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2.1129</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4" w:beforeLines="0" w:afterLines="0" w:line="231" w:lineRule="auto"/>
              <w:ind w:left="244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合</w:t>
            </w:r>
            <w:r>
              <w:rPr>
                <w:rFonts w:hint="eastAsia" w:ascii="仿宋" w:hAnsi="仿宋" w:eastAsia="仿宋" w:cs="仿宋"/>
                <w:snapToGrid w:val="0"/>
                <w:color w:val="000000"/>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38" w:beforeLines="0" w:afterLines="0" w:line="196" w:lineRule="auto"/>
              <w:ind w:left="556"/>
              <w:jc w:val="left"/>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67.8448</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68" w:beforeLines="0" w:afterLines="0" w:line="268" w:lineRule="exact"/>
              <w:ind w:left="619"/>
              <w:jc w:val="left"/>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100%</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pPr>
      <w:bookmarkStart w:id="2" w:name="_Toc7939"/>
      <w:r>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t>成片开发条件分析</w:t>
      </w:r>
      <w:bookmarkEnd w:id="2"/>
    </w:p>
    <w:p>
      <w:pPr>
        <w:keepNext w:val="0"/>
        <w:keepLines w:val="0"/>
        <w:pageBreakBefore w:val="0"/>
        <w:widowControl/>
        <w:kinsoku w:val="0"/>
        <w:wordWrap/>
        <w:overflowPunct/>
        <w:topLinePunct w:val="0"/>
        <w:autoSpaceDE w:val="0"/>
        <w:autoSpaceDN w:val="0"/>
        <w:bidi w:val="0"/>
        <w:adjustRightInd w:val="0"/>
        <w:snapToGrid w:val="0"/>
        <w:spacing w:before="208" w:beforeLines="-2147483648" w:afterLines="-2147483648" w:line="240" w:lineRule="auto"/>
        <w:ind w:left="701"/>
        <w:jc w:val="left"/>
        <w:textAlignment w:val="baseline"/>
        <w:rPr>
          <w:rFonts w:hint="eastAsia" w:ascii="仿宋" w:hAnsi="仿宋" w:eastAsia="仿宋" w:cs="仿宋"/>
          <w:snapToGrid w:val="0"/>
          <w:color w:val="000000"/>
          <w:spacing w:val="18"/>
          <w:kern w:val="0"/>
          <w:sz w:val="31"/>
          <w:szCs w:val="31"/>
          <w:lang w:eastAsia="zh-CN"/>
        </w:rPr>
      </w:pPr>
      <w:r>
        <w:rPr>
          <w:rFonts w:hint="eastAsia" w:ascii="仿宋" w:hAnsi="仿宋" w:eastAsia="仿宋" w:cs="仿宋"/>
          <w:snapToGrid w:val="0"/>
          <w:color w:val="000000"/>
          <w:spacing w:val="18"/>
          <w:kern w:val="0"/>
          <w:sz w:val="31"/>
          <w:szCs w:val="31"/>
          <w:lang w:eastAsia="zh-CN"/>
        </w:rPr>
        <w:t>（一）必要性分析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1、拓展优化石化区发展空间，保障重点项目落地</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具有优越的区位优势和交通优势，临近香港和深圳，属于粤港澳大湾区的核心湾区、惠州沿海经济带和海洋发展区的核心板块，拥有向内地拓展经济纵深的重要通道（京九－惠大铁路）、支撑扩大对外开放的国家一类口岸（惠州港）。经过近30年的开发建设，已建成具有较强实力的石化支柱产业，经济基础扎实，经济社会发展多项指标居惠州前列。大亚湾开发区有能力有条件推动经济社会发展再上新台阶，推进与深圳都市圈交通、产业、园区、人才、公共服务等领域的合作，加快深惠一体化发展步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的开发建设，具有很好的时机与条件，致力于加快大亚湾石化拓展区的土地征收工作，保障近期重点产业项目顺利推进，紧抓广东省打造绿色石化战略性支柱产业集群、惠州建设万亿级石化能源新材料产业集群等重大战略机遇，根据近、中、远期产业发展定位和环境保护要求，结合土地开发时序，拓展优化石化区发展空间。坚持“南填、北拓、中优化”开发导向，构建“一心一核两翼”总体布局。可以充分利用大亚湾开发区的区位优势，以各种软硬资源环境为依托，促进人员、物资、资本、资金、信息的要素流通。为大亚湾开发区经济圈建设重要战略承载空间，成为推动新增长极的动力源。有利于促进片区的发展，实现人才、资金、信息的聚集，促进土地“成片开发”的优化组合，全力推动城乡融合发展。</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bookmarkStart w:id="3" w:name="_Toc25399"/>
      <w:bookmarkStart w:id="4" w:name="_Toc130308483"/>
      <w:bookmarkStart w:id="5" w:name="_Toc92385062"/>
      <w:r>
        <w:rPr>
          <w:rFonts w:hint="eastAsia" w:ascii="仿宋" w:hAnsi="仿宋" w:eastAsia="仿宋" w:cs="仿宋"/>
          <w:snapToGrid w:val="0"/>
          <w:color w:val="000000"/>
          <w:spacing w:val="5"/>
          <w:kern w:val="0"/>
          <w:sz w:val="31"/>
          <w:szCs w:val="31"/>
          <w:lang w:val="en-US" w:eastAsia="zh-CN"/>
        </w:rPr>
        <w:t>2、满足经济发展与市场需求</w:t>
      </w:r>
      <w:bookmarkEnd w:id="3"/>
      <w:bookmarkEnd w:id="4"/>
      <w:bookmarkEnd w:id="5"/>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推进粤港澳大湾区建设实施方案》提出全面加强与湾区内各城市协同合作，着力打造世界级绿色石化产业基地，助推惠州市到2030年建成国内一流城市、2035年建成宜居宜业宜游的国际一流湾区城市，推动基本实现社会主义现代化迈出坚实步伐，为将粤港澳大湾区打造成为国际一流湾区和世界级城市群作出应有贡献。</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区基础扎实，产业人才丰富，在《大亚湾开发区推进粤港澳大湾区建设实施方案》提出后，已揭示惠州市资源要素投入格局的调整。面临新一轮产业迭代，越来越多的企业摆脱“一线城市情节”在湾区内进行重新布局，可以充分把握这一“湾区产业再布局”的发展机遇，以良好的城市品质吸引具有竞争力的企业布局。</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3、完善区域配套设施，增强社会幸福感</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包含多个公共配套设施项目，按照“科学规划、合理布局、突出重点、协调发展”的原则，推动完善周边公共配套设施与基础设施的建设，促进教育、公园、道路等各项社会公共事业迅速发展，实现城镇高品质居住功能，从而带动区域经济增长，提升居民生活品质与幸福指数，增强城市对高端人才的吸引力，为建设现代化城区提供坚实硬件保障。</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(二)合规性分析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1．本方案符合大亚湾开发区国民经济和社会发展第十四个五年规划的发展定位、要求，已纳入2023年国民经济和社会发展年度计划。</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2．本方案成片开发范围位于土地利用总体规划确定的城镇建设用地范围内或城市、镇总体规划确定的建设用地范围内，并与正在编制的国土空间规划充分衔接。</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3．本方案成片开发范围位于国土空间规划城镇开发边界集中建设区。</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4．本方案成片开发范围不涉及占用永久基本农田和生态保护红线。</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6" w:name="_Toc18981"/>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土地用途与公益性用地情况</w:t>
      </w:r>
      <w:bookmarkEnd w:id="6"/>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（一）土地用途</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本次成片开发范围共包括4个片区，主要用途为工业用地、居住用地及配套设施等用地类型。成片开发范围的最终用途以法定规划实际批复用地性质为准。</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(二)公益性用地情况</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土地征收成片开发标准（试行）》和《广东省自然资源厅关于规范土地征收成片开发工作的通知》的要求，一个完整的成片开发范围内基础设施、公共服务设施和其他公益性用地比例一般不低于40%。惠州市惠阳区2023年度土地征收成片开发方案（第一批）初步拟定了4个成片开发范围，各个开发范围公益性用地占比均大于40%。</w:t>
      </w:r>
    </w:p>
    <w:p>
      <w:pPr>
        <w:widowControl/>
        <w:kinsoku w:val="0"/>
        <w:autoSpaceDE w:val="0"/>
        <w:autoSpaceDN w:val="0"/>
        <w:adjustRightInd w:val="0"/>
        <w:snapToGrid w:val="0"/>
        <w:spacing w:before="205" w:beforeLines="-2147483648" w:afterLines="-2147483648" w:line="221" w:lineRule="auto"/>
        <w:ind w:left="2447"/>
        <w:jc w:val="left"/>
        <w:textAlignment w:val="baseline"/>
        <w:rPr>
          <w:rFonts w:hint="eastAsia" w:ascii="仿宋" w:hAnsi="仿宋" w:eastAsia="仿宋" w:cs="仿宋"/>
          <w:snapToGrid w:val="0"/>
          <w:color w:val="000000"/>
          <w:spacing w:val="-2"/>
          <w:kern w:val="0"/>
          <w:sz w:val="22"/>
          <w:szCs w:val="22"/>
          <w:lang w:val="en-US" w:eastAsia="zh-CN"/>
        </w:rPr>
      </w:pPr>
      <w:r>
        <w:rPr>
          <w:rFonts w:hint="eastAsia" w:ascii="仿宋" w:hAnsi="仿宋" w:eastAsia="仿宋" w:cs="仿宋"/>
          <w:snapToGrid w:val="0"/>
          <w:color w:val="000000"/>
          <w:spacing w:val="-2"/>
          <w:kern w:val="0"/>
          <w:sz w:val="22"/>
          <w:szCs w:val="22"/>
          <w:lang w:val="en-US" w:eastAsia="zh-CN"/>
        </w:rPr>
        <w:t>表3 各成片开发范围公益性用地占比情况表</w:t>
      </w:r>
    </w:p>
    <w:tbl>
      <w:tblPr>
        <w:tblStyle w:val="9"/>
        <w:tblW w:w="814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77"/>
        <w:gridCol w:w="1550"/>
        <w:gridCol w:w="2150"/>
        <w:gridCol w:w="1400"/>
        <w:gridCol w:w="12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177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30"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片</w:t>
            </w:r>
            <w:r>
              <w:rPr>
                <w:rFonts w:hint="eastAsia" w:ascii="仿宋" w:hAnsi="仿宋" w:eastAsia="仿宋" w:cs="仿宋"/>
                <w:snapToGrid w:val="0"/>
                <w:color w:val="000000"/>
                <w:spacing w:val="5"/>
                <w:kern w:val="0"/>
                <w:sz w:val="19"/>
                <w:szCs w:val="19"/>
              </w:rPr>
              <w:t>区名称</w:t>
            </w: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范</w:t>
            </w:r>
            <w:r>
              <w:rPr>
                <w:rFonts w:hint="eastAsia" w:ascii="仿宋" w:hAnsi="仿宋" w:eastAsia="仿宋" w:cs="仿宋"/>
                <w:snapToGrid w:val="0"/>
                <w:color w:val="000000"/>
                <w:spacing w:val="4"/>
                <w:kern w:val="0"/>
                <w:sz w:val="19"/>
                <w:szCs w:val="19"/>
              </w:rPr>
              <w:t>围编号</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片</w:t>
            </w:r>
            <w:r>
              <w:rPr>
                <w:rFonts w:hint="eastAsia" w:ascii="仿宋" w:hAnsi="仿宋" w:eastAsia="仿宋" w:cs="仿宋"/>
                <w:snapToGrid w:val="0"/>
                <w:color w:val="000000"/>
                <w:spacing w:val="6"/>
                <w:kern w:val="0"/>
                <w:sz w:val="19"/>
                <w:szCs w:val="19"/>
              </w:rPr>
              <w:t>区总面积</w:t>
            </w: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29"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公益性用地面积</w:t>
            </w: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29"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公益性占比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7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1"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石化区产业拓展区</w:t>
            </w: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SHCYTZ01</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45.3215</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19.7001</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43.47%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jc w:val="center"/>
        </w:trPr>
        <w:tc>
          <w:tcPr>
            <w:tcW w:w="177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1" w:beforeLines="0" w:afterLines="0" w:line="232" w:lineRule="auto"/>
              <w:jc w:val="center"/>
              <w:textAlignment w:val="baseline"/>
              <w:rPr>
                <w:rFonts w:hint="eastAsia" w:ascii="仿宋" w:hAnsi="仿宋" w:eastAsia="仿宋" w:cs="仿宋"/>
                <w:snapToGrid w:val="0"/>
                <w:color w:val="000000"/>
                <w:spacing w:val="8"/>
                <w:kern w:val="0"/>
                <w:sz w:val="19"/>
                <w:szCs w:val="19"/>
                <w:lang w:val="en-US" w:eastAsia="zh-CN"/>
              </w:rPr>
            </w:pPr>
            <w:r>
              <w:rPr>
                <w:rFonts w:hint="eastAsia" w:ascii="仿宋" w:hAnsi="仿宋" w:eastAsia="仿宋" w:cs="仿宋"/>
                <w:snapToGrid w:val="0"/>
                <w:color w:val="000000"/>
                <w:spacing w:val="8"/>
                <w:kern w:val="0"/>
                <w:sz w:val="19"/>
                <w:szCs w:val="19"/>
              </w:rPr>
              <w:t>霞涌义联Ⅱ号片区</w:t>
            </w: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XCYL01</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0.1723</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spacing w:val="3"/>
                <w:kern w:val="0"/>
                <w:sz w:val="19"/>
                <w:szCs w:val="19"/>
                <w:lang w:val="en-US" w:eastAsia="zh-CN"/>
              </w:rPr>
            </w:pPr>
            <w:r>
              <w:rPr>
                <w:rFonts w:hint="eastAsia" w:ascii="Times New Roman" w:hAnsi="Times New Roman" w:eastAsia="宋体" w:cs="Times New Roman"/>
                <w:snapToGrid w:val="0"/>
                <w:color w:val="000000"/>
                <w:spacing w:val="3"/>
                <w:kern w:val="0"/>
                <w:sz w:val="19"/>
                <w:szCs w:val="19"/>
                <w:lang w:val="en-US" w:eastAsia="zh-CN"/>
              </w:rPr>
              <w:t>0.1268</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jc w:val="center"/>
              <w:textAlignment w:val="baseline"/>
              <w:rPr>
                <w:rFonts w:hint="default" w:ascii="Times New Roman" w:hAnsi="Times New Roman" w:eastAsia="宋体" w:cs="Times New Roman"/>
                <w:snapToGrid w:val="0"/>
                <w:color w:val="000000"/>
                <w:spacing w:val="-4"/>
                <w:kern w:val="0"/>
                <w:position w:val="2"/>
                <w:sz w:val="19"/>
                <w:szCs w:val="19"/>
                <w:lang w:val="en-US" w:eastAsia="zh-CN"/>
              </w:rPr>
            </w:pPr>
            <w:r>
              <w:rPr>
                <w:rFonts w:hint="eastAsia" w:ascii="Times New Roman" w:hAnsi="Times New Roman" w:eastAsia="宋体" w:cs="Times New Roman"/>
                <w:snapToGrid w:val="0"/>
                <w:color w:val="000000"/>
                <w:spacing w:val="-4"/>
                <w:kern w:val="0"/>
                <w:position w:val="2"/>
                <w:sz w:val="19"/>
                <w:szCs w:val="19"/>
                <w:lang w:val="en-US" w:eastAsia="zh-CN"/>
              </w:rPr>
              <w:t>73.59%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jc w:val="center"/>
        </w:trPr>
        <w:tc>
          <w:tcPr>
            <w:tcW w:w="177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1"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rPr>
              <w:t>石化拓展区搬迁安置区</w:t>
            </w: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tabs>
                <w:tab w:val="center" w:pos="611"/>
              </w:tabs>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SHAZ01</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17.7993</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spacing w:val="3"/>
                <w:kern w:val="0"/>
                <w:sz w:val="19"/>
                <w:szCs w:val="19"/>
                <w:lang w:val="en-US" w:eastAsia="zh-CN"/>
              </w:rPr>
            </w:pPr>
            <w:r>
              <w:rPr>
                <w:rFonts w:hint="eastAsia" w:ascii="Times New Roman" w:hAnsi="Times New Roman" w:eastAsia="宋体" w:cs="Times New Roman"/>
                <w:snapToGrid w:val="0"/>
                <w:color w:val="000000"/>
                <w:spacing w:val="3"/>
                <w:kern w:val="0"/>
                <w:sz w:val="19"/>
                <w:szCs w:val="19"/>
                <w:lang w:val="en-US" w:eastAsia="zh-CN"/>
              </w:rPr>
              <w:t>7.5828</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jc w:val="center"/>
              <w:textAlignment w:val="baseline"/>
              <w:rPr>
                <w:rFonts w:hint="default" w:ascii="Times New Roman" w:hAnsi="Times New Roman" w:eastAsia="宋体" w:cs="Times New Roman"/>
                <w:snapToGrid w:val="0"/>
                <w:color w:val="000000"/>
                <w:spacing w:val="-4"/>
                <w:kern w:val="0"/>
                <w:position w:val="2"/>
                <w:sz w:val="19"/>
                <w:szCs w:val="19"/>
                <w:lang w:val="en-US" w:eastAsia="zh-CN"/>
              </w:rPr>
            </w:pPr>
            <w:r>
              <w:rPr>
                <w:rFonts w:hint="eastAsia" w:ascii="Times New Roman" w:hAnsi="Times New Roman" w:eastAsia="宋体" w:cs="Times New Roman"/>
                <w:snapToGrid w:val="0"/>
                <w:color w:val="000000"/>
                <w:spacing w:val="-4"/>
                <w:kern w:val="0"/>
                <w:position w:val="2"/>
                <w:sz w:val="19"/>
                <w:szCs w:val="19"/>
                <w:lang w:val="en-US" w:eastAsia="zh-CN"/>
              </w:rPr>
              <w:t>42.60%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77" w:type="dxa"/>
            <w:vMerge w:val="restart"/>
            <w:tcBorders>
              <w:top w:val="single" w:color="000000" w:sz="2" w:space="0"/>
              <w:left w:val="single" w:color="000000" w:sz="2" w:space="0"/>
              <w:bottom w:val="nil"/>
              <w:right w:val="single" w:color="000000" w:sz="2" w:space="0"/>
              <w:tl2br w:val="nil"/>
              <w:tr2bl w:val="nil"/>
            </w:tcBorders>
            <w:noWrap w:val="0"/>
            <w:vAlign w:val="center"/>
          </w:tcPr>
          <w:p>
            <w:pPr>
              <w:widowControl/>
              <w:kinsoku w:val="0"/>
              <w:autoSpaceDE w:val="0"/>
              <w:autoSpaceDN w:val="0"/>
              <w:adjustRightInd w:val="0"/>
              <w:snapToGrid w:val="0"/>
              <w:spacing w:before="101"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default" w:ascii="仿宋" w:hAnsi="仿宋" w:eastAsia="仿宋" w:cs="仿宋"/>
                <w:snapToGrid w:val="0"/>
                <w:color w:val="000000"/>
                <w:spacing w:val="8"/>
                <w:kern w:val="0"/>
                <w:sz w:val="19"/>
                <w:szCs w:val="19"/>
              </w:rPr>
              <w:t>塘横首开区</w:t>
            </w: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THSK01</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2.0552</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0.9698</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7"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47.19%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77" w:type="dxa"/>
            <w:vMerge w:val="continue"/>
            <w:tcBorders>
              <w:top w:val="nil"/>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5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THSK02</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2.4965</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1.1040</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8"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44.22%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jc w:val="center"/>
        </w:trPr>
        <w:tc>
          <w:tcPr>
            <w:tcW w:w="3327"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5" w:lineRule="auto"/>
              <w:ind w:left="366"/>
              <w:jc w:val="center"/>
              <w:textAlignment w:val="baseline"/>
              <w:rPr>
                <w:rFonts w:hint="eastAsia" w:ascii="Times New Roman" w:hAnsi="Times New Roman" w:eastAsia="宋体" w:cs="Times New Roman"/>
                <w:snapToGrid w:val="0"/>
                <w:color w:val="000000"/>
                <w:kern w:val="0"/>
                <w:sz w:val="19"/>
                <w:szCs w:val="19"/>
                <w:lang w:eastAsia="zh-CN"/>
              </w:rPr>
            </w:pPr>
            <w:r>
              <w:rPr>
                <w:rFonts w:hint="eastAsia" w:ascii="仿宋" w:hAnsi="仿宋" w:eastAsia="仿宋" w:cs="仿宋"/>
                <w:snapToGrid w:val="0"/>
                <w:color w:val="000000"/>
                <w:spacing w:val="7"/>
                <w:kern w:val="0"/>
                <w:sz w:val="19"/>
                <w:szCs w:val="19"/>
                <w:lang w:eastAsia="zh-CN"/>
              </w:rPr>
              <w:t>总计</w:t>
            </w:r>
          </w:p>
        </w:tc>
        <w:tc>
          <w:tcPr>
            <w:tcW w:w="21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jc w:val="center"/>
              <w:textAlignment w:val="baseline"/>
              <w:rPr>
                <w:rFonts w:hint="default" w:ascii="Times New Roman" w:hAnsi="Times New Roman" w:eastAsia="宋体" w:cs="Times New Roman"/>
                <w:snapToGrid w:val="0"/>
                <w:color w:val="000000"/>
                <w:spacing w:val="3"/>
                <w:kern w:val="0"/>
                <w:sz w:val="19"/>
                <w:szCs w:val="19"/>
                <w:lang w:val="en-US" w:eastAsia="zh-CN"/>
              </w:rPr>
            </w:pPr>
            <w:r>
              <w:rPr>
                <w:rFonts w:hint="eastAsia" w:ascii="Times New Roman" w:hAnsi="Times New Roman" w:eastAsia="宋体" w:cs="Times New Roman"/>
                <w:snapToGrid w:val="0"/>
                <w:color w:val="000000"/>
                <w:spacing w:val="3"/>
                <w:kern w:val="0"/>
                <w:sz w:val="19"/>
                <w:szCs w:val="19"/>
                <w:lang w:val="en-US" w:eastAsia="zh-CN"/>
              </w:rPr>
              <w:t>67.8448</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8"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29.4835</w:t>
            </w:r>
          </w:p>
        </w:tc>
        <w:tc>
          <w:tcPr>
            <w:tcW w:w="126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8" w:lineRule="exact"/>
              <w:jc w:val="center"/>
              <w:textAlignment w:val="baseline"/>
              <w:rPr>
                <w:rFonts w:hint="default" w:ascii="Times New Roman" w:hAnsi="Times New Roman" w:eastAsia="宋体" w:cs="Times New Roman"/>
                <w:snapToGrid w:val="0"/>
                <w:color w:val="000000"/>
                <w:spacing w:val="7"/>
                <w:kern w:val="0"/>
                <w:position w:val="2"/>
                <w:sz w:val="19"/>
                <w:szCs w:val="19"/>
                <w:lang w:val="en-US" w:eastAsia="zh-CN"/>
              </w:rPr>
            </w:pPr>
            <w:r>
              <w:rPr>
                <w:rFonts w:hint="eastAsia" w:ascii="Times New Roman" w:hAnsi="Times New Roman" w:eastAsia="宋体" w:cs="Times New Roman"/>
                <w:snapToGrid w:val="0"/>
                <w:color w:val="000000"/>
                <w:spacing w:val="7"/>
                <w:kern w:val="0"/>
                <w:position w:val="2"/>
                <w:sz w:val="19"/>
                <w:szCs w:val="19"/>
                <w:lang w:val="en-US" w:eastAsia="zh-CN"/>
              </w:rPr>
              <w:t>43.46%</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7" w:name="_Toc16734"/>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拟实施征收比例合理性分析</w:t>
      </w:r>
      <w:bookmarkEnd w:id="7"/>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依据国土空间规划确定的一个完整的土地征收成片开发范围内，可包含多个拟征收地块，拟征收地块面积不得小于土地征收成片开发范围面积的60%。惠州市惠阳区2023年度土地征收成片开发方案（第一批）初步拟定的成片开发范围面积67.8448公顷，拟实施征收面积44.1863公顷，拟实施面积占成片开发范围比例为65.13%，符合开发片区征收地块面积不得小于土地征收成片开发范围面积的60%的规定。</w:t>
      </w:r>
    </w:p>
    <w:p>
      <w:pPr>
        <w:widowControl/>
        <w:kinsoku w:val="0"/>
        <w:autoSpaceDE w:val="0"/>
        <w:autoSpaceDN w:val="0"/>
        <w:adjustRightInd w:val="0"/>
        <w:snapToGrid w:val="0"/>
        <w:spacing w:before="21" w:beforeLines="-2147483648" w:afterLines="-2147483648" w:line="211" w:lineRule="auto"/>
        <w:jc w:val="center"/>
        <w:textAlignment w:val="baseline"/>
        <w:rPr>
          <w:rFonts w:hint="eastAsia" w:ascii="仿宋" w:hAnsi="仿宋" w:eastAsia="仿宋" w:cs="仿宋"/>
          <w:snapToGrid w:val="0"/>
          <w:color w:val="000000"/>
          <w:spacing w:val="-1"/>
          <w:kern w:val="0"/>
          <w:sz w:val="22"/>
          <w:szCs w:val="22"/>
          <w:lang w:val="en-US" w:eastAsia="zh-CN"/>
        </w:rPr>
      </w:pPr>
      <w:r>
        <w:rPr>
          <w:rFonts w:hint="eastAsia" w:ascii="仿宋" w:hAnsi="仿宋" w:eastAsia="仿宋" w:cs="仿宋"/>
          <w:snapToGrid w:val="0"/>
          <w:color w:val="000000"/>
          <w:spacing w:val="-1"/>
          <w:kern w:val="0"/>
          <w:sz w:val="22"/>
          <w:szCs w:val="22"/>
          <w:lang w:val="en-US" w:eastAsia="zh-CN"/>
        </w:rPr>
        <w:t>表4 各片区成片开发范围内拟征收地块面积及占比情况统计表</w:t>
      </w:r>
    </w:p>
    <w:tbl>
      <w:tblPr>
        <w:tblStyle w:val="9"/>
        <w:tblW w:w="836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65"/>
        <w:gridCol w:w="1500"/>
        <w:gridCol w:w="1400"/>
        <w:gridCol w:w="2508"/>
        <w:gridCol w:w="12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1665"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0" w:lineRule="auto"/>
              <w:ind w:left="23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片</w:t>
            </w:r>
            <w:r>
              <w:rPr>
                <w:rFonts w:hint="eastAsia" w:ascii="仿宋" w:hAnsi="仿宋" w:eastAsia="仿宋" w:cs="仿宋"/>
                <w:snapToGrid w:val="0"/>
                <w:color w:val="000000"/>
                <w:spacing w:val="5"/>
                <w:kern w:val="0"/>
                <w:sz w:val="19"/>
                <w:szCs w:val="19"/>
              </w:rPr>
              <w:t>区名称</w:t>
            </w: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228"/>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范</w:t>
            </w:r>
            <w:r>
              <w:rPr>
                <w:rFonts w:hint="eastAsia" w:ascii="仿宋" w:hAnsi="仿宋" w:eastAsia="仿宋" w:cs="仿宋"/>
                <w:snapToGrid w:val="0"/>
                <w:color w:val="000000"/>
                <w:spacing w:val="4"/>
                <w:kern w:val="0"/>
                <w:sz w:val="19"/>
                <w:szCs w:val="19"/>
              </w:rPr>
              <w:t>围编号</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81"/>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1"/>
                <w:kern w:val="0"/>
                <w:sz w:val="19"/>
                <w:szCs w:val="19"/>
              </w:rPr>
              <w:t>片</w:t>
            </w:r>
            <w:r>
              <w:rPr>
                <w:rFonts w:hint="eastAsia" w:ascii="仿宋" w:hAnsi="仿宋" w:eastAsia="仿宋" w:cs="仿宋"/>
                <w:snapToGrid w:val="0"/>
                <w:color w:val="000000"/>
                <w:spacing w:val="6"/>
                <w:kern w:val="0"/>
                <w:sz w:val="19"/>
                <w:szCs w:val="19"/>
              </w:rPr>
              <w:t>区总面积 (公顷)</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63"/>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4"/>
                <w:kern w:val="0"/>
                <w:sz w:val="19"/>
                <w:szCs w:val="19"/>
              </w:rPr>
              <w:t>拟</w:t>
            </w:r>
            <w:r>
              <w:rPr>
                <w:rFonts w:hint="eastAsia" w:ascii="仿宋" w:hAnsi="仿宋" w:eastAsia="仿宋" w:cs="仿宋"/>
                <w:snapToGrid w:val="0"/>
                <w:color w:val="000000"/>
                <w:spacing w:val="9"/>
                <w:kern w:val="0"/>
                <w:sz w:val="19"/>
                <w:szCs w:val="19"/>
              </w:rPr>
              <w:t>征</w:t>
            </w:r>
            <w:r>
              <w:rPr>
                <w:rFonts w:hint="eastAsia" w:ascii="仿宋" w:hAnsi="仿宋" w:eastAsia="仿宋" w:cs="仿宋"/>
                <w:snapToGrid w:val="0"/>
                <w:color w:val="000000"/>
                <w:spacing w:val="7"/>
                <w:kern w:val="0"/>
                <w:sz w:val="19"/>
                <w:szCs w:val="19"/>
              </w:rPr>
              <w:t>收用地面积 (公顷)</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5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拟征收占</w:t>
            </w:r>
            <w:r>
              <w:rPr>
                <w:rFonts w:hint="eastAsia" w:ascii="仿宋" w:hAnsi="仿宋" w:eastAsia="仿宋" w:cs="仿宋"/>
                <w:snapToGrid w:val="0"/>
                <w:color w:val="000000"/>
                <w:spacing w:val="7"/>
                <w:kern w:val="0"/>
                <w:sz w:val="19"/>
                <w:szCs w:val="19"/>
              </w:rPr>
              <w:t>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6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98"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lang w:eastAsia="zh-CN"/>
              </w:rPr>
              <w:t>石化区产业拓展区</w:t>
            </w: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SHCYTZ01</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45.3215</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29.4073</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64.89%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6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98"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lang w:eastAsia="zh-CN"/>
              </w:rPr>
              <w:t>霞涌义联Ⅱ号片区</w:t>
            </w: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XCYL01</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0.1723</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0.1723</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6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98"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lang w:eastAsia="zh-CN"/>
              </w:rPr>
              <w:t>石化拓展区搬迁安置区</w:t>
            </w: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SHAZ01</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17.7993</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10.3988</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58.42%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65" w:type="dxa"/>
            <w:vMerge w:val="restart"/>
            <w:tcBorders>
              <w:top w:val="single" w:color="000000" w:sz="2" w:space="0"/>
              <w:left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98"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lang w:eastAsia="zh-CN"/>
              </w:rPr>
              <w:t>塘横首开区</w:t>
            </w: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THSK01</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2.0552</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2.0552</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65" w:type="dxa"/>
            <w:vMerge w:val="continue"/>
            <w:tcBorders>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8" w:beforeLines="0" w:afterLines="0" w:line="232" w:lineRule="auto"/>
              <w:ind w:left="225"/>
              <w:jc w:val="left"/>
              <w:textAlignment w:val="baseline"/>
              <w:rPr>
                <w:rFonts w:hint="eastAsia" w:ascii="仿宋" w:hAnsi="仿宋" w:eastAsia="仿宋" w:cs="仿宋"/>
                <w:snapToGrid w:val="0"/>
                <w:color w:val="000000"/>
                <w:spacing w:val="8"/>
                <w:kern w:val="0"/>
                <w:sz w:val="19"/>
                <w:szCs w:val="19"/>
                <w:lang w:eastAsia="zh-CN"/>
              </w:rPr>
            </w:pPr>
          </w:p>
        </w:tc>
        <w:tc>
          <w:tcPr>
            <w:tcW w:w="15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THSK02</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2.4965</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2.1527</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86.23%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165"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32" w:beforeLines="0" w:afterLines="0" w:line="197" w:lineRule="auto"/>
              <w:jc w:val="center"/>
              <w:textAlignment w:val="baseline"/>
              <w:rPr>
                <w:rFonts w:hint="eastAsia" w:ascii="Times New Roman" w:hAnsi="Times New Roman" w:eastAsia="宋体" w:cs="Times New Roman"/>
                <w:snapToGrid w:val="0"/>
                <w:color w:val="000000"/>
                <w:kern w:val="0"/>
                <w:sz w:val="19"/>
                <w:szCs w:val="19"/>
                <w:lang w:eastAsia="zh-CN"/>
              </w:rPr>
            </w:pPr>
            <w:r>
              <w:rPr>
                <w:rFonts w:hint="eastAsia" w:ascii="仿宋" w:hAnsi="仿宋" w:eastAsia="仿宋" w:cs="仿宋"/>
                <w:snapToGrid w:val="0"/>
                <w:color w:val="000000"/>
                <w:spacing w:val="8"/>
                <w:kern w:val="0"/>
                <w:sz w:val="19"/>
                <w:szCs w:val="19"/>
                <w:lang w:eastAsia="zh-CN"/>
              </w:rPr>
              <w:t>总计</w:t>
            </w:r>
          </w:p>
        </w:tc>
        <w:tc>
          <w:tcPr>
            <w:tcW w:w="140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67.8448</w:t>
            </w:r>
          </w:p>
        </w:tc>
        <w:tc>
          <w:tcPr>
            <w:tcW w:w="2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44.1863</w:t>
            </w:r>
          </w:p>
        </w:tc>
        <w:tc>
          <w:tcPr>
            <w:tcW w:w="129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65.13%</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8" w:name="_Toc17094"/>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实施计划</w:t>
      </w:r>
      <w:bookmarkEnd w:id="8"/>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根据大亚湾开发区产业发展及招商引资情况，合理安排开发时序，引导项目建设合理利用建设用地。拟建项目用地开发时序为</w:t>
      </w:r>
      <w:r>
        <w:rPr>
          <w:rFonts w:hint="default" w:ascii="仿宋" w:hAnsi="仿宋" w:eastAsia="仿宋" w:cs="仿宋"/>
          <w:snapToGrid w:val="0"/>
          <w:color w:val="000000"/>
          <w:spacing w:val="5"/>
          <w:kern w:val="0"/>
          <w:sz w:val="31"/>
          <w:szCs w:val="31"/>
          <w:lang w:val="en-US" w:eastAsia="zh-CN"/>
        </w:rPr>
        <w:t>2023</w:t>
      </w:r>
      <w:r>
        <w:rPr>
          <w:rFonts w:hint="eastAsia" w:ascii="仿宋" w:hAnsi="仿宋" w:eastAsia="仿宋" w:cs="仿宋"/>
          <w:snapToGrid w:val="0"/>
          <w:color w:val="000000"/>
          <w:spacing w:val="5"/>
          <w:kern w:val="0"/>
          <w:sz w:val="31"/>
          <w:szCs w:val="31"/>
          <w:lang w:val="en-US" w:eastAsia="zh-CN"/>
        </w:rPr>
        <w:t>年至</w:t>
      </w:r>
      <w:r>
        <w:rPr>
          <w:rFonts w:hint="default" w:ascii="仿宋" w:hAnsi="仿宋" w:eastAsia="仿宋" w:cs="仿宋"/>
          <w:snapToGrid w:val="0"/>
          <w:color w:val="000000"/>
          <w:spacing w:val="5"/>
          <w:kern w:val="0"/>
          <w:sz w:val="31"/>
          <w:szCs w:val="31"/>
          <w:lang w:val="en-US" w:eastAsia="zh-CN"/>
        </w:rPr>
        <w:t>2024</w:t>
      </w:r>
      <w:r>
        <w:rPr>
          <w:rFonts w:hint="eastAsia" w:ascii="仿宋" w:hAnsi="仿宋" w:eastAsia="仿宋" w:cs="仿宋"/>
          <w:snapToGrid w:val="0"/>
          <w:color w:val="000000"/>
          <w:spacing w:val="5"/>
          <w:kern w:val="0"/>
          <w:sz w:val="31"/>
          <w:szCs w:val="31"/>
          <w:lang w:val="en-US" w:eastAsia="zh-CN"/>
        </w:rPr>
        <w:t>年，2年内完成土地征收工作。</w:t>
      </w:r>
    </w:p>
    <w:p>
      <w:pPr>
        <w:widowControl/>
        <w:kinsoku w:val="0"/>
        <w:autoSpaceDE w:val="0"/>
        <w:autoSpaceDN w:val="0"/>
        <w:adjustRightInd w:val="0"/>
        <w:snapToGrid w:val="0"/>
        <w:spacing w:before="21" w:beforeLines="-2147483648" w:afterLines="-2147483648" w:line="211" w:lineRule="auto"/>
        <w:ind w:left="1568"/>
        <w:jc w:val="center"/>
        <w:textAlignment w:val="baseline"/>
        <w:rPr>
          <w:rFonts w:hint="eastAsia" w:ascii="仿宋" w:hAnsi="仿宋" w:eastAsia="仿宋" w:cs="仿宋"/>
          <w:snapToGrid w:val="0"/>
          <w:color w:val="000000"/>
          <w:spacing w:val="-1"/>
          <w:kern w:val="0"/>
          <w:sz w:val="22"/>
          <w:szCs w:val="22"/>
          <w:lang w:val="en-US" w:eastAsia="zh-CN"/>
        </w:rPr>
      </w:pPr>
      <w:r>
        <w:rPr>
          <w:rFonts w:hint="eastAsia" w:ascii="仿宋" w:hAnsi="仿宋" w:eastAsia="仿宋" w:cs="仿宋"/>
          <w:snapToGrid w:val="0"/>
          <w:color w:val="000000"/>
          <w:spacing w:val="-1"/>
          <w:kern w:val="0"/>
          <w:sz w:val="22"/>
          <w:szCs w:val="22"/>
          <w:lang w:val="en-US" w:eastAsia="zh-CN"/>
        </w:rPr>
        <w:t>表5 成片开发实施计划</w:t>
      </w:r>
    </w:p>
    <w:tbl>
      <w:tblPr>
        <w:tblStyle w:val="9"/>
        <w:tblW w:w="8641"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02"/>
        <w:gridCol w:w="1005"/>
        <w:gridCol w:w="925"/>
        <w:gridCol w:w="863"/>
        <w:gridCol w:w="987"/>
        <w:gridCol w:w="1213"/>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left="123" w:right="112" w:firstLine="6"/>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rPr>
              <w:t>片区</w:t>
            </w:r>
            <w:r>
              <w:rPr>
                <w:rFonts w:hint="eastAsia" w:ascii="仿宋" w:hAnsi="仿宋" w:eastAsia="仿宋" w:cs="仿宋"/>
                <w:snapToGrid w:val="0"/>
                <w:color w:val="000000"/>
                <w:spacing w:val="3"/>
                <w:kern w:val="0"/>
                <w:sz w:val="19"/>
                <w:szCs w:val="19"/>
              </w:rPr>
              <w:t>名称</w:t>
            </w:r>
          </w:p>
        </w:tc>
        <w:tc>
          <w:tcPr>
            <w:tcW w:w="1005" w:type="dxa"/>
            <w:tcBorders>
              <w:tl2br w:val="nil"/>
              <w:tr2bl w:val="nil"/>
            </w:tcBorders>
            <w:noWrap w:val="0"/>
            <w:vAlign w:val="center"/>
          </w:tcPr>
          <w:p>
            <w:pPr>
              <w:widowControl/>
              <w:kinsoku w:val="0"/>
              <w:autoSpaceDE w:val="0"/>
              <w:autoSpaceDN w:val="0"/>
              <w:adjustRightInd w:val="0"/>
              <w:snapToGrid w:val="0"/>
              <w:spacing w:before="34" w:beforeLines="0" w:afterLines="0" w:line="259" w:lineRule="exact"/>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lang w:eastAsia="zh-CN"/>
              </w:rPr>
              <w:t>征地编号</w:t>
            </w:r>
          </w:p>
        </w:tc>
        <w:tc>
          <w:tcPr>
            <w:tcW w:w="925" w:type="dxa"/>
            <w:tcBorders>
              <w:tl2br w:val="nil"/>
              <w:tr2bl w:val="nil"/>
            </w:tcBorders>
            <w:noWrap w:val="0"/>
            <w:vAlign w:val="center"/>
          </w:tcPr>
          <w:p>
            <w:pPr>
              <w:widowControl/>
              <w:kinsoku w:val="0"/>
              <w:autoSpaceDE w:val="0"/>
              <w:autoSpaceDN w:val="0"/>
              <w:adjustRightInd w:val="0"/>
              <w:snapToGrid w:val="0"/>
              <w:spacing w:before="164"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类</w:t>
            </w:r>
            <w:r>
              <w:rPr>
                <w:rFonts w:hint="eastAsia" w:ascii="仿宋" w:hAnsi="仿宋" w:eastAsia="仿宋" w:cs="仿宋"/>
                <w:snapToGrid w:val="0"/>
                <w:color w:val="000000"/>
                <w:spacing w:val="2"/>
                <w:kern w:val="0"/>
                <w:sz w:val="19"/>
                <w:szCs w:val="19"/>
              </w:rPr>
              <w:t>型</w:t>
            </w:r>
          </w:p>
        </w:tc>
        <w:tc>
          <w:tcPr>
            <w:tcW w:w="863" w:type="dxa"/>
            <w:tcBorders>
              <w:tl2br w:val="nil"/>
              <w:tr2bl w:val="nil"/>
            </w:tcBorders>
            <w:noWrap w:val="0"/>
            <w:vAlign w:val="center"/>
          </w:tcPr>
          <w:p>
            <w:pPr>
              <w:widowControl/>
              <w:kinsoku w:val="0"/>
              <w:autoSpaceDE w:val="0"/>
              <w:autoSpaceDN w:val="0"/>
              <w:adjustRightInd w:val="0"/>
              <w:snapToGrid w:val="0"/>
              <w:spacing w:before="163"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主</w:t>
            </w:r>
            <w:r>
              <w:rPr>
                <w:rFonts w:hint="eastAsia" w:ascii="仿宋" w:hAnsi="仿宋" w:eastAsia="仿宋" w:cs="仿宋"/>
                <w:snapToGrid w:val="0"/>
                <w:color w:val="000000"/>
                <w:spacing w:val="5"/>
                <w:kern w:val="0"/>
                <w:sz w:val="19"/>
                <w:szCs w:val="19"/>
              </w:rPr>
              <w:t>要用途</w:t>
            </w:r>
          </w:p>
        </w:tc>
        <w:tc>
          <w:tcPr>
            <w:tcW w:w="987" w:type="dxa"/>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right="164"/>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用地面积</w:t>
            </w:r>
            <w:r>
              <w:rPr>
                <w:rFonts w:hint="eastAsia" w:ascii="仿宋" w:hAnsi="仿宋" w:eastAsia="仿宋" w:cs="仿宋"/>
                <w:snapToGrid w:val="0"/>
                <w:color w:val="000000"/>
                <w:kern w:val="0"/>
                <w:sz w:val="19"/>
                <w:szCs w:val="19"/>
              </w:rPr>
              <w:t xml:space="preserve"> </w:t>
            </w: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1213" w:type="dxa"/>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right="135"/>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预</w:t>
            </w:r>
            <w:r>
              <w:rPr>
                <w:rFonts w:hint="eastAsia" w:ascii="仿宋" w:hAnsi="仿宋" w:eastAsia="仿宋" w:cs="仿宋"/>
                <w:snapToGrid w:val="0"/>
                <w:color w:val="000000"/>
                <w:spacing w:val="6"/>
                <w:kern w:val="0"/>
                <w:sz w:val="19"/>
                <w:szCs w:val="19"/>
              </w:rPr>
              <w:t>计完</w:t>
            </w:r>
            <w:r>
              <w:rPr>
                <w:rFonts w:hint="eastAsia" w:ascii="仿宋" w:hAnsi="仿宋" w:eastAsia="仿宋" w:cs="仿宋"/>
                <w:snapToGrid w:val="0"/>
                <w:color w:val="000000"/>
                <w:spacing w:val="6"/>
                <w:kern w:val="0"/>
                <w:sz w:val="19"/>
                <w:szCs w:val="19"/>
                <w:lang w:eastAsia="zh-CN"/>
              </w:rPr>
              <w:t>城</w:t>
            </w:r>
            <w:r>
              <w:rPr>
                <w:rFonts w:hint="eastAsia" w:ascii="仿宋" w:hAnsi="仿宋" w:eastAsia="仿宋" w:cs="仿宋"/>
                <w:snapToGrid w:val="0"/>
                <w:color w:val="000000"/>
                <w:spacing w:val="7"/>
                <w:kern w:val="0"/>
                <w:sz w:val="19"/>
                <w:szCs w:val="19"/>
              </w:rPr>
              <w:t>征收时</w:t>
            </w:r>
            <w:r>
              <w:rPr>
                <w:rFonts w:hint="eastAsia" w:ascii="仿宋" w:hAnsi="仿宋" w:eastAsia="仿宋" w:cs="仿宋"/>
                <w:snapToGrid w:val="0"/>
                <w:color w:val="000000"/>
                <w:spacing w:val="6"/>
                <w:kern w:val="0"/>
                <w:sz w:val="19"/>
                <w:szCs w:val="19"/>
              </w:rPr>
              <w:t>间</w:t>
            </w:r>
          </w:p>
        </w:tc>
        <w:tc>
          <w:tcPr>
            <w:tcW w:w="2546" w:type="dxa"/>
            <w:tcBorders>
              <w:tl2br w:val="nil"/>
              <w:tr2bl w:val="nil"/>
            </w:tcBorders>
            <w:noWrap w:val="0"/>
            <w:vAlign w:val="center"/>
          </w:tcPr>
          <w:p>
            <w:pPr>
              <w:widowControl/>
              <w:kinsoku w:val="0"/>
              <w:autoSpaceDE w:val="0"/>
              <w:autoSpaceDN w:val="0"/>
              <w:adjustRightInd w:val="0"/>
              <w:snapToGrid w:val="0"/>
              <w:spacing w:before="16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拟引入项</w:t>
            </w:r>
            <w:r>
              <w:rPr>
                <w:rFonts w:hint="eastAsia" w:ascii="仿宋" w:hAnsi="仿宋" w:eastAsia="仿宋" w:cs="仿宋"/>
                <w:snapToGrid w:val="0"/>
                <w:color w:val="000000"/>
                <w:spacing w:val="7"/>
                <w:kern w:val="0"/>
                <w:sz w:val="19"/>
                <w:szCs w:val="19"/>
              </w:rPr>
              <w:t>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restart"/>
            <w:tcBorders>
              <w:tl2br w:val="nil"/>
              <w:tr2bl w:val="nil"/>
            </w:tcBorders>
            <w:noWrap w:val="0"/>
            <w:vAlign w:val="center"/>
          </w:tcPr>
          <w:p>
            <w:pPr>
              <w:widowControl/>
              <w:kinsoku w:val="0"/>
              <w:autoSpaceDE w:val="0"/>
              <w:autoSpaceDN w:val="0"/>
              <w:adjustRightInd w:val="0"/>
              <w:snapToGrid w:val="0"/>
              <w:spacing w:before="62" w:beforeLines="0" w:afterLines="0" w:line="266" w:lineRule="auto"/>
              <w:ind w:right="115"/>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lang w:eastAsia="zh-CN"/>
              </w:rPr>
              <w:t>石化区产业拓展区</w:t>
            </w:r>
          </w:p>
        </w:tc>
        <w:tc>
          <w:tcPr>
            <w:tcW w:w="1005" w:type="dxa"/>
            <w:tcBorders>
              <w:tl2br w:val="nil"/>
              <w:tr2bl w:val="nil"/>
            </w:tcBorders>
            <w:noWrap w:val="0"/>
            <w:vAlign w:val="center"/>
          </w:tcPr>
          <w:p>
            <w:pPr>
              <w:widowControl/>
              <w:kinsoku w:val="0"/>
              <w:autoSpaceDE w:val="0"/>
              <w:autoSpaceDN w:val="0"/>
              <w:adjustRightInd w:val="0"/>
              <w:snapToGrid w:val="0"/>
              <w:spacing w:before="134"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NZSDK</w:t>
            </w:r>
            <w:r>
              <w:rPr>
                <w:rFonts w:hint="default" w:ascii="Times New Roman" w:hAnsi="Times New Roman" w:eastAsia="Times New Roman" w:cs="Times New Roman"/>
                <w:snapToGrid w:val="0"/>
                <w:color w:val="000000"/>
                <w:kern w:val="0"/>
                <w:sz w:val="19"/>
                <w:szCs w:val="19"/>
                <w:lang w:val="en-US" w:eastAsia="zh-CN"/>
              </w:rPr>
              <w:t>1</w:t>
            </w:r>
          </w:p>
        </w:tc>
        <w:tc>
          <w:tcPr>
            <w:tcW w:w="925" w:type="dxa"/>
            <w:tcBorders>
              <w:tl2br w:val="nil"/>
              <w:tr2bl w:val="nil"/>
            </w:tcBorders>
            <w:noWrap w:val="0"/>
            <w:vAlign w:val="center"/>
          </w:tcPr>
          <w:p>
            <w:pPr>
              <w:widowControl/>
              <w:kinsoku w:val="0"/>
              <w:autoSpaceDE w:val="0"/>
              <w:autoSpaceDN w:val="0"/>
              <w:adjustRightInd w:val="0"/>
              <w:snapToGrid w:val="0"/>
              <w:spacing w:before="99"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w:t>
            </w:r>
            <w:r>
              <w:rPr>
                <w:rFonts w:hint="eastAsia" w:ascii="仿宋" w:hAnsi="仿宋" w:eastAsia="仿宋" w:cs="仿宋"/>
                <w:snapToGrid w:val="0"/>
                <w:color w:val="000000"/>
                <w:spacing w:val="5"/>
                <w:kern w:val="0"/>
                <w:sz w:val="19"/>
                <w:szCs w:val="19"/>
              </w:rPr>
              <w:t>项目</w:t>
            </w:r>
          </w:p>
        </w:tc>
        <w:tc>
          <w:tcPr>
            <w:tcW w:w="863" w:type="dxa"/>
            <w:tcBorders>
              <w:tl2br w:val="nil"/>
              <w:tr2bl w:val="nil"/>
            </w:tcBorders>
            <w:noWrap w:val="0"/>
            <w:vAlign w:val="center"/>
          </w:tcPr>
          <w:p>
            <w:pPr>
              <w:widowControl/>
              <w:kinsoku w:val="0"/>
              <w:autoSpaceDE w:val="0"/>
              <w:autoSpaceDN w:val="0"/>
              <w:adjustRightInd w:val="0"/>
              <w:snapToGrid w:val="0"/>
              <w:spacing w:before="99"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0.8093</w:t>
            </w:r>
          </w:p>
        </w:tc>
        <w:tc>
          <w:tcPr>
            <w:tcW w:w="1213" w:type="dxa"/>
            <w:tcBorders>
              <w:tl2br w:val="nil"/>
              <w:tr2bl w:val="nil"/>
            </w:tcBorders>
            <w:noWrap w:val="0"/>
            <w:vAlign w:val="center"/>
          </w:tcPr>
          <w:p>
            <w:pPr>
              <w:widowControl/>
              <w:kinsoku w:val="0"/>
              <w:autoSpaceDE w:val="0"/>
              <w:autoSpaceDN w:val="0"/>
              <w:adjustRightInd w:val="0"/>
              <w:snapToGrid w:val="0"/>
              <w:spacing w:before="99"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w:t>
            </w:r>
            <w:r>
              <w:rPr>
                <w:rFonts w:hint="default" w:ascii="Times New Roman" w:hAnsi="Times New Roman" w:eastAsia="Times New Roman" w:cs="Times New Roman"/>
                <w:snapToGrid w:val="0"/>
                <w:color w:val="000000"/>
                <w:spacing w:val="4"/>
                <w:kern w:val="0"/>
                <w:sz w:val="19"/>
                <w:szCs w:val="19"/>
              </w:rPr>
              <w:t>02</w:t>
            </w:r>
            <w:r>
              <w:rPr>
                <w:rFonts w:hint="eastAsia" w:ascii="Times New Roman" w:hAnsi="Times New Roman" w:eastAsia="宋体" w:cs="Times New Roman"/>
                <w:snapToGrid w:val="0"/>
                <w:color w:val="000000"/>
                <w:spacing w:val="4"/>
                <w:kern w:val="0"/>
                <w:sz w:val="19"/>
                <w:szCs w:val="19"/>
                <w:lang w:val="en-US" w:eastAsia="zh-CN"/>
              </w:rPr>
              <w:t>3</w:t>
            </w:r>
            <w:r>
              <w:rPr>
                <w:rFonts w:hint="eastAsia" w:ascii="仿宋" w:hAnsi="仿宋" w:eastAsia="仿宋" w:cs="仿宋"/>
                <w:snapToGrid w:val="0"/>
                <w:color w:val="000000"/>
                <w:spacing w:val="4"/>
                <w:kern w:val="0"/>
                <w:sz w:val="19"/>
                <w:szCs w:val="19"/>
              </w:rPr>
              <w:t>年</w:t>
            </w:r>
          </w:p>
        </w:tc>
        <w:tc>
          <w:tcPr>
            <w:tcW w:w="2546" w:type="dxa"/>
            <w:tcBorders>
              <w:tl2br w:val="nil"/>
              <w:tr2bl w:val="nil"/>
            </w:tcBorders>
            <w:noWrap w:val="0"/>
            <w:vAlign w:val="center"/>
          </w:tcPr>
          <w:p>
            <w:pPr>
              <w:widowControl/>
              <w:kinsoku w:val="0"/>
              <w:autoSpaceDE w:val="0"/>
              <w:autoSpaceDN w:val="0"/>
              <w:adjustRightInd w:val="0"/>
              <w:snapToGrid w:val="0"/>
              <w:spacing w:before="99" w:beforeLines="0" w:afterLines="0" w:line="231"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rPr>
              <w:t>石化区产业拓展区</w:t>
            </w:r>
          </w:p>
          <w:p>
            <w:pPr>
              <w:widowControl/>
              <w:kinsoku w:val="0"/>
              <w:autoSpaceDE w:val="0"/>
              <w:autoSpaceDN w:val="0"/>
              <w:adjustRightInd w:val="0"/>
              <w:snapToGrid w:val="0"/>
              <w:spacing w:before="99"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（2023年度第一批次）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2</w:t>
            </w:r>
          </w:p>
        </w:tc>
        <w:tc>
          <w:tcPr>
            <w:tcW w:w="925" w:type="dxa"/>
            <w:tcBorders>
              <w:tl2br w:val="nil"/>
              <w:tr2bl w:val="nil"/>
            </w:tcBorders>
            <w:noWrap w:val="0"/>
            <w:vAlign w:val="center"/>
          </w:tcPr>
          <w:p>
            <w:pPr>
              <w:widowControl/>
              <w:kinsoku w:val="0"/>
              <w:autoSpaceDE w:val="0"/>
              <w:autoSpaceDN w:val="0"/>
              <w:adjustRightInd w:val="0"/>
              <w:snapToGrid w:val="0"/>
              <w:spacing w:before="100"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w:t>
            </w:r>
            <w:r>
              <w:rPr>
                <w:rFonts w:hint="eastAsia" w:ascii="仿宋" w:hAnsi="仿宋" w:eastAsia="仿宋" w:cs="仿宋"/>
                <w:snapToGrid w:val="0"/>
                <w:color w:val="000000"/>
                <w:spacing w:val="4"/>
                <w:kern w:val="0"/>
                <w:sz w:val="19"/>
                <w:szCs w:val="19"/>
              </w:rPr>
              <w:t>项目</w:t>
            </w:r>
          </w:p>
        </w:tc>
        <w:tc>
          <w:tcPr>
            <w:tcW w:w="86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3.2265</w:t>
            </w:r>
          </w:p>
        </w:tc>
        <w:tc>
          <w:tcPr>
            <w:tcW w:w="121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3</w:t>
            </w:r>
            <w:r>
              <w:rPr>
                <w:rFonts w:hint="default" w:ascii="Times New Roman" w:hAnsi="Times New Roman" w:eastAsia="Times New Roman" w:cs="Times New Roman"/>
                <w:snapToGrid w:val="0"/>
                <w:color w:val="000000"/>
                <w:spacing w:val="7"/>
                <w:kern w:val="0"/>
                <w:sz w:val="19"/>
                <w:szCs w:val="19"/>
              </w:rPr>
              <w:t>年</w:t>
            </w:r>
          </w:p>
        </w:tc>
        <w:tc>
          <w:tcPr>
            <w:tcW w:w="2546"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石化区产业拓展区</w:t>
            </w:r>
          </w:p>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5"/>
                <w:kern w:val="0"/>
                <w:sz w:val="19"/>
                <w:szCs w:val="19"/>
              </w:rPr>
              <w:t>（2023年度第一批次）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3</w:t>
            </w:r>
          </w:p>
        </w:tc>
        <w:tc>
          <w:tcPr>
            <w:tcW w:w="925" w:type="dxa"/>
            <w:tcBorders>
              <w:tl2br w:val="nil"/>
              <w:tr2bl w:val="nil"/>
            </w:tcBorders>
            <w:noWrap w:val="0"/>
            <w:vAlign w:val="center"/>
          </w:tcPr>
          <w:p>
            <w:pPr>
              <w:widowControl/>
              <w:kinsoku w:val="0"/>
              <w:autoSpaceDE w:val="0"/>
              <w:autoSpaceDN w:val="0"/>
              <w:adjustRightInd w:val="0"/>
              <w:snapToGrid w:val="0"/>
              <w:spacing w:before="100" w:beforeLines="0" w:afterLines="0" w:line="232"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86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6" w:lineRule="auto"/>
              <w:jc w:val="center"/>
              <w:textAlignment w:val="baseline"/>
              <w:rPr>
                <w:rFonts w:hint="default" w:ascii="Times New Roman" w:hAnsi="Times New Roman" w:eastAsia="宋体" w:cs="Times New Roman"/>
                <w:snapToGrid w:val="0"/>
                <w:color w:val="000000"/>
                <w:spacing w:val="6"/>
                <w:kern w:val="0"/>
                <w:sz w:val="19"/>
                <w:szCs w:val="19"/>
                <w:lang w:val="en-US" w:eastAsia="zh-CN"/>
              </w:rPr>
            </w:pPr>
            <w:r>
              <w:rPr>
                <w:rFonts w:hint="eastAsia" w:ascii="Times New Roman" w:hAnsi="Times New Roman" w:eastAsia="宋体" w:cs="Times New Roman"/>
                <w:snapToGrid w:val="0"/>
                <w:color w:val="000000"/>
                <w:spacing w:val="6"/>
                <w:kern w:val="0"/>
                <w:sz w:val="19"/>
                <w:szCs w:val="19"/>
                <w:lang w:val="en-US" w:eastAsia="zh-CN"/>
              </w:rPr>
              <w:t>11.3134</w:t>
            </w:r>
          </w:p>
        </w:tc>
        <w:tc>
          <w:tcPr>
            <w:tcW w:w="121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3</w:t>
            </w:r>
            <w:r>
              <w:rPr>
                <w:rFonts w:hint="default" w:ascii="Times New Roman" w:hAnsi="Times New Roman" w:eastAsia="Times New Roman" w:cs="Times New Roman"/>
                <w:snapToGrid w:val="0"/>
                <w:color w:val="000000"/>
                <w:spacing w:val="7"/>
                <w:kern w:val="0"/>
                <w:sz w:val="19"/>
                <w:szCs w:val="19"/>
              </w:rPr>
              <w:t>年</w:t>
            </w:r>
          </w:p>
        </w:tc>
        <w:tc>
          <w:tcPr>
            <w:tcW w:w="2546"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石化拓展区</w:t>
            </w:r>
          </w:p>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（2023年十四批次）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4</w:t>
            </w:r>
          </w:p>
        </w:tc>
        <w:tc>
          <w:tcPr>
            <w:tcW w:w="925" w:type="dxa"/>
            <w:tcBorders>
              <w:tl2br w:val="nil"/>
              <w:tr2bl w:val="nil"/>
            </w:tcBorders>
            <w:noWrap w:val="0"/>
            <w:vAlign w:val="center"/>
          </w:tcPr>
          <w:p>
            <w:pPr>
              <w:widowControl/>
              <w:kinsoku w:val="0"/>
              <w:autoSpaceDE w:val="0"/>
              <w:autoSpaceDN w:val="0"/>
              <w:adjustRightInd w:val="0"/>
              <w:snapToGrid w:val="0"/>
              <w:spacing w:before="100" w:beforeLines="0" w:afterLines="0" w:line="232"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86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6" w:lineRule="auto"/>
              <w:jc w:val="center"/>
              <w:textAlignment w:val="baseline"/>
              <w:rPr>
                <w:rFonts w:hint="default" w:ascii="Times New Roman" w:hAnsi="Times New Roman" w:eastAsia="宋体" w:cs="Times New Roman"/>
                <w:snapToGrid w:val="0"/>
                <w:color w:val="000000"/>
                <w:spacing w:val="6"/>
                <w:kern w:val="0"/>
                <w:sz w:val="19"/>
                <w:szCs w:val="19"/>
                <w:lang w:val="en-US" w:eastAsia="zh-CN"/>
              </w:rPr>
            </w:pPr>
            <w:r>
              <w:rPr>
                <w:rFonts w:hint="eastAsia" w:ascii="Times New Roman" w:hAnsi="Times New Roman" w:eastAsia="宋体" w:cs="Times New Roman"/>
                <w:snapToGrid w:val="0"/>
                <w:color w:val="000000"/>
                <w:spacing w:val="6"/>
                <w:kern w:val="0"/>
                <w:sz w:val="19"/>
                <w:szCs w:val="19"/>
                <w:lang w:val="en-US" w:eastAsia="zh-CN"/>
              </w:rPr>
              <w:t>0.0387</w:t>
            </w:r>
          </w:p>
        </w:tc>
        <w:tc>
          <w:tcPr>
            <w:tcW w:w="121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石化拓展区</w:t>
            </w:r>
          </w:p>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（2022年第三批次）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5</w:t>
            </w:r>
          </w:p>
        </w:tc>
        <w:tc>
          <w:tcPr>
            <w:tcW w:w="925" w:type="dxa"/>
            <w:tcBorders>
              <w:tl2br w:val="nil"/>
              <w:tr2bl w:val="nil"/>
            </w:tcBorders>
            <w:noWrap w:val="0"/>
            <w:vAlign w:val="center"/>
          </w:tcPr>
          <w:p>
            <w:pPr>
              <w:widowControl/>
              <w:kinsoku w:val="0"/>
              <w:autoSpaceDE w:val="0"/>
              <w:autoSpaceDN w:val="0"/>
              <w:adjustRightInd w:val="0"/>
              <w:snapToGrid w:val="0"/>
              <w:spacing w:before="100" w:beforeLines="0" w:afterLines="0" w:line="232"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86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6" w:lineRule="auto"/>
              <w:jc w:val="center"/>
              <w:textAlignment w:val="baseline"/>
              <w:rPr>
                <w:rFonts w:hint="default" w:ascii="Times New Roman" w:hAnsi="Times New Roman" w:eastAsia="宋体" w:cs="Times New Roman"/>
                <w:snapToGrid w:val="0"/>
                <w:color w:val="000000"/>
                <w:spacing w:val="6"/>
                <w:kern w:val="0"/>
                <w:sz w:val="19"/>
                <w:szCs w:val="19"/>
                <w:lang w:val="en-US" w:eastAsia="zh-CN"/>
              </w:rPr>
            </w:pPr>
            <w:r>
              <w:rPr>
                <w:rFonts w:hint="eastAsia" w:ascii="Times New Roman" w:hAnsi="Times New Roman" w:eastAsia="宋体" w:cs="Times New Roman"/>
                <w:snapToGrid w:val="0"/>
                <w:color w:val="000000"/>
                <w:spacing w:val="6"/>
                <w:kern w:val="0"/>
                <w:sz w:val="19"/>
                <w:szCs w:val="19"/>
                <w:lang w:val="en-US" w:eastAsia="zh-CN"/>
              </w:rPr>
              <w:t>8.0253</w:t>
            </w:r>
          </w:p>
        </w:tc>
        <w:tc>
          <w:tcPr>
            <w:tcW w:w="121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石化拓展区</w:t>
            </w:r>
          </w:p>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（2022年第三批次）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6</w:t>
            </w:r>
          </w:p>
        </w:tc>
        <w:tc>
          <w:tcPr>
            <w:tcW w:w="925" w:type="dxa"/>
            <w:tcBorders>
              <w:tl2br w:val="nil"/>
              <w:tr2bl w:val="nil"/>
            </w:tcBorders>
            <w:noWrap w:val="0"/>
            <w:vAlign w:val="center"/>
          </w:tcPr>
          <w:p>
            <w:pPr>
              <w:widowControl/>
              <w:kinsoku w:val="0"/>
              <w:autoSpaceDE w:val="0"/>
              <w:autoSpaceDN w:val="0"/>
              <w:adjustRightInd w:val="0"/>
              <w:snapToGrid w:val="0"/>
              <w:spacing w:before="100" w:beforeLines="0" w:afterLines="0" w:line="232"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86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工业用地</w:t>
            </w:r>
          </w:p>
        </w:tc>
        <w:tc>
          <w:tcPr>
            <w:tcW w:w="987" w:type="dxa"/>
            <w:tcBorders>
              <w:tl2br w:val="nil"/>
              <w:tr2bl w:val="nil"/>
            </w:tcBorders>
            <w:noWrap w:val="0"/>
            <w:vAlign w:val="center"/>
          </w:tcPr>
          <w:p>
            <w:pPr>
              <w:widowControl/>
              <w:kinsoku w:val="0"/>
              <w:autoSpaceDE w:val="0"/>
              <w:autoSpaceDN w:val="0"/>
              <w:adjustRightInd w:val="0"/>
              <w:snapToGrid w:val="0"/>
              <w:spacing w:before="134" w:beforeLines="0" w:afterLines="0" w:line="196" w:lineRule="auto"/>
              <w:jc w:val="center"/>
              <w:textAlignment w:val="baseline"/>
              <w:rPr>
                <w:rFonts w:hint="default" w:ascii="Times New Roman" w:hAnsi="Times New Roman" w:eastAsia="宋体" w:cs="Times New Roman"/>
                <w:snapToGrid w:val="0"/>
                <w:color w:val="000000"/>
                <w:spacing w:val="6"/>
                <w:kern w:val="0"/>
                <w:sz w:val="19"/>
                <w:szCs w:val="19"/>
                <w:lang w:val="en-US" w:eastAsia="zh-CN"/>
              </w:rPr>
            </w:pPr>
            <w:r>
              <w:rPr>
                <w:rFonts w:hint="eastAsia" w:ascii="Times New Roman" w:hAnsi="Times New Roman" w:eastAsia="宋体" w:cs="Times New Roman"/>
                <w:snapToGrid w:val="0"/>
                <w:color w:val="000000"/>
                <w:spacing w:val="6"/>
                <w:kern w:val="0"/>
                <w:sz w:val="19"/>
                <w:szCs w:val="19"/>
                <w:lang w:val="en-US" w:eastAsia="zh-CN"/>
              </w:rPr>
              <w:t>0.6307</w:t>
            </w:r>
          </w:p>
        </w:tc>
        <w:tc>
          <w:tcPr>
            <w:tcW w:w="1213"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石化拓展区</w:t>
            </w:r>
          </w:p>
          <w:p>
            <w:pPr>
              <w:widowControl/>
              <w:kinsoku w:val="0"/>
              <w:autoSpaceDE w:val="0"/>
              <w:autoSpaceDN w:val="0"/>
              <w:adjustRightInd w:val="0"/>
              <w:snapToGrid w:val="0"/>
              <w:spacing w:before="100" w:beforeLines="0" w:afterLines="0" w:line="231" w:lineRule="auto"/>
              <w:jc w:val="center"/>
              <w:textAlignment w:val="baseline"/>
              <w:rPr>
                <w:rFonts w:hint="eastAsia" w:ascii="仿宋" w:hAnsi="仿宋" w:eastAsia="仿宋" w:cs="仿宋"/>
                <w:snapToGrid w:val="0"/>
                <w:color w:val="000000"/>
                <w:spacing w:val="15"/>
                <w:kern w:val="0"/>
                <w:sz w:val="19"/>
                <w:szCs w:val="19"/>
              </w:rPr>
            </w:pPr>
            <w:r>
              <w:rPr>
                <w:rFonts w:hint="eastAsia" w:ascii="仿宋" w:hAnsi="仿宋" w:eastAsia="仿宋" w:cs="仿宋"/>
                <w:snapToGrid w:val="0"/>
                <w:color w:val="000000"/>
                <w:spacing w:val="15"/>
                <w:kern w:val="0"/>
                <w:sz w:val="19"/>
                <w:szCs w:val="19"/>
              </w:rPr>
              <w:t>（2022年第三批次）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96"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7</w:t>
            </w:r>
          </w:p>
        </w:tc>
        <w:tc>
          <w:tcPr>
            <w:tcW w:w="925" w:type="dxa"/>
            <w:tcBorders>
              <w:tl2br w:val="nil"/>
              <w:tr2bl w:val="nil"/>
            </w:tcBorders>
            <w:noWrap w:val="0"/>
            <w:vAlign w:val="center"/>
          </w:tcPr>
          <w:p>
            <w:pPr>
              <w:widowControl/>
              <w:kinsoku w:val="0"/>
              <w:autoSpaceDE w:val="0"/>
              <w:autoSpaceDN w:val="0"/>
              <w:adjustRightInd w:val="0"/>
              <w:snapToGrid w:val="0"/>
              <w:spacing w:before="161"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w:t>
            </w:r>
            <w:r>
              <w:rPr>
                <w:rFonts w:hint="eastAsia" w:ascii="仿宋" w:hAnsi="仿宋" w:eastAsia="仿宋" w:cs="仿宋"/>
                <w:snapToGrid w:val="0"/>
                <w:color w:val="000000"/>
                <w:spacing w:val="5"/>
                <w:kern w:val="0"/>
                <w:sz w:val="19"/>
                <w:szCs w:val="19"/>
              </w:rPr>
              <w:t>业项目</w:t>
            </w:r>
          </w:p>
        </w:tc>
        <w:tc>
          <w:tcPr>
            <w:tcW w:w="863" w:type="dxa"/>
            <w:tcBorders>
              <w:tl2br w:val="nil"/>
              <w:tr2bl w:val="nil"/>
            </w:tcBorders>
            <w:noWrap w:val="0"/>
            <w:vAlign w:val="center"/>
          </w:tcPr>
          <w:p>
            <w:pPr>
              <w:widowControl/>
              <w:kinsoku w:val="0"/>
              <w:autoSpaceDE w:val="0"/>
              <w:autoSpaceDN w:val="0"/>
              <w:adjustRightInd w:val="0"/>
              <w:snapToGrid w:val="0"/>
              <w:spacing w:before="161"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w:t>
            </w:r>
            <w:r>
              <w:rPr>
                <w:rFonts w:hint="eastAsia" w:ascii="仿宋" w:hAnsi="仿宋" w:eastAsia="仿宋" w:cs="仿宋"/>
                <w:snapToGrid w:val="0"/>
                <w:color w:val="000000"/>
                <w:spacing w:val="5"/>
                <w:kern w:val="0"/>
                <w:sz w:val="19"/>
                <w:szCs w:val="19"/>
              </w:rPr>
              <w:t>业用地</w:t>
            </w:r>
          </w:p>
        </w:tc>
        <w:tc>
          <w:tcPr>
            <w:tcW w:w="987" w:type="dxa"/>
            <w:tcBorders>
              <w:tl2br w:val="nil"/>
              <w:tr2bl w:val="nil"/>
            </w:tcBorders>
            <w:noWrap w:val="0"/>
            <w:vAlign w:val="center"/>
          </w:tcPr>
          <w:p>
            <w:pPr>
              <w:widowControl/>
              <w:kinsoku w:val="0"/>
              <w:autoSpaceDE w:val="0"/>
              <w:autoSpaceDN w:val="0"/>
              <w:adjustRightInd w:val="0"/>
              <w:snapToGrid w:val="0"/>
              <w:spacing w:before="196"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5.3634</w:t>
            </w:r>
          </w:p>
        </w:tc>
        <w:tc>
          <w:tcPr>
            <w:tcW w:w="1213" w:type="dxa"/>
            <w:tcBorders>
              <w:tl2br w:val="nil"/>
              <w:tr2bl w:val="nil"/>
            </w:tcBorders>
            <w:noWrap w:val="0"/>
            <w:vAlign w:val="center"/>
          </w:tcPr>
          <w:p>
            <w:pPr>
              <w:widowControl/>
              <w:kinsoku w:val="0"/>
              <w:autoSpaceDE w:val="0"/>
              <w:autoSpaceDN w:val="0"/>
              <w:adjustRightInd w:val="0"/>
              <w:snapToGrid w:val="0"/>
              <w:spacing w:before="161"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 w:beforeLines="0" w:afterLines="0" w:line="254" w:lineRule="auto"/>
              <w:ind w:right="165"/>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rPr>
              <w:t>石化拓展区</w:t>
            </w:r>
          </w:p>
          <w:p>
            <w:pPr>
              <w:widowControl/>
              <w:kinsoku w:val="0"/>
              <w:autoSpaceDE w:val="0"/>
              <w:autoSpaceDN w:val="0"/>
              <w:adjustRightInd w:val="0"/>
              <w:snapToGrid w:val="0"/>
              <w:spacing w:before="1" w:beforeLines="0" w:afterLines="0" w:line="254" w:lineRule="auto"/>
              <w:ind w:right="165"/>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（2022年第三批次）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2" w:hRule="atLeast"/>
        </w:trPr>
        <w:tc>
          <w:tcPr>
            <w:tcW w:w="1102" w:type="dxa"/>
            <w:tcBorders>
              <w:tl2br w:val="nil"/>
              <w:tr2bl w:val="nil"/>
            </w:tcBorders>
            <w:noWrap w:val="0"/>
            <w:vAlign w:val="center"/>
          </w:tcPr>
          <w:p>
            <w:pPr>
              <w:widowControl/>
              <w:kinsoku w:val="0"/>
              <w:autoSpaceDE w:val="0"/>
              <w:autoSpaceDN w:val="0"/>
              <w:adjustRightInd w:val="0"/>
              <w:snapToGrid w:val="0"/>
              <w:spacing w:before="62" w:beforeLines="0" w:afterLines="0" w:line="266" w:lineRule="auto"/>
              <w:ind w:left="129" w:right="115" w:hanging="5"/>
              <w:jc w:val="center"/>
              <w:textAlignment w:val="baseline"/>
              <w:rPr>
                <w:rFonts w:hint="eastAsia" w:ascii="仿宋" w:hAnsi="仿宋" w:eastAsia="仿宋" w:cs="仿宋"/>
                <w:snapToGrid w:val="0"/>
                <w:color w:val="000000"/>
                <w:kern w:val="0"/>
                <w:sz w:val="19"/>
                <w:szCs w:val="19"/>
              </w:rPr>
            </w:pPr>
            <w:r>
              <w:rPr>
                <w:rFonts w:hint="default" w:ascii="仿宋" w:hAnsi="仿宋" w:eastAsia="仿宋" w:cs="仿宋"/>
                <w:snapToGrid w:val="0"/>
                <w:color w:val="000000"/>
                <w:kern w:val="0"/>
                <w:sz w:val="19"/>
                <w:szCs w:val="19"/>
                <w:lang w:eastAsia="zh-CN"/>
              </w:rPr>
              <w:t>霞涌义联Ⅱ号片区</w:t>
            </w:r>
          </w:p>
        </w:tc>
        <w:tc>
          <w:tcPr>
            <w:tcW w:w="1005" w:type="dxa"/>
            <w:tcBorders>
              <w:tl2br w:val="nil"/>
              <w:tr2bl w:val="nil"/>
            </w:tcBorders>
            <w:noWrap w:val="0"/>
            <w:vAlign w:val="center"/>
          </w:tcPr>
          <w:p>
            <w:pPr>
              <w:widowControl/>
              <w:kinsoku w:val="0"/>
              <w:autoSpaceDE w:val="0"/>
              <w:autoSpaceDN w:val="0"/>
              <w:adjustRightInd w:val="0"/>
              <w:snapToGrid w:val="0"/>
              <w:spacing w:before="54" w:beforeLines="0" w:afterLines="0" w:line="197"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1"/>
                <w:kern w:val="0"/>
                <w:sz w:val="19"/>
                <w:szCs w:val="19"/>
              </w:rPr>
              <w:t>NZSDK</w:t>
            </w:r>
            <w:r>
              <w:rPr>
                <w:rFonts w:hint="eastAsia" w:ascii="Times New Roman" w:hAnsi="Times New Roman" w:eastAsia="宋体" w:cs="Times New Roman"/>
                <w:snapToGrid w:val="0"/>
                <w:color w:val="000000"/>
                <w:spacing w:val="-1"/>
                <w:kern w:val="0"/>
                <w:sz w:val="19"/>
                <w:szCs w:val="19"/>
                <w:lang w:val="en-US" w:eastAsia="zh-CN"/>
              </w:rPr>
              <w:t>8</w:t>
            </w:r>
          </w:p>
        </w:tc>
        <w:tc>
          <w:tcPr>
            <w:tcW w:w="925" w:type="dxa"/>
            <w:tcBorders>
              <w:tl2br w:val="nil"/>
              <w:tr2bl w:val="nil"/>
            </w:tcBorders>
            <w:noWrap w:val="0"/>
            <w:vAlign w:val="center"/>
          </w:tcPr>
          <w:p>
            <w:pPr>
              <w:widowControl/>
              <w:kinsoku w:val="0"/>
              <w:autoSpaceDE w:val="0"/>
              <w:autoSpaceDN w:val="0"/>
              <w:adjustRightInd w:val="0"/>
              <w:snapToGrid w:val="0"/>
              <w:spacing w:before="289"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居住项目</w:t>
            </w:r>
          </w:p>
        </w:tc>
        <w:tc>
          <w:tcPr>
            <w:tcW w:w="863" w:type="dxa"/>
            <w:tcBorders>
              <w:tl2br w:val="nil"/>
              <w:tr2bl w:val="nil"/>
            </w:tcBorders>
            <w:noWrap w:val="0"/>
            <w:vAlign w:val="center"/>
          </w:tcPr>
          <w:p>
            <w:pPr>
              <w:widowControl/>
              <w:kinsoku w:val="0"/>
              <w:autoSpaceDE w:val="0"/>
              <w:autoSpaceDN w:val="0"/>
              <w:adjustRightInd w:val="0"/>
              <w:snapToGrid w:val="0"/>
              <w:spacing w:before="289"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住宅用地</w:t>
            </w:r>
          </w:p>
        </w:tc>
        <w:tc>
          <w:tcPr>
            <w:tcW w:w="987" w:type="dxa"/>
            <w:tcBorders>
              <w:tl2br w:val="nil"/>
              <w:tr2bl w:val="nil"/>
            </w:tcBorders>
            <w:noWrap w:val="0"/>
            <w:vAlign w:val="center"/>
          </w:tcPr>
          <w:p>
            <w:pPr>
              <w:widowControl/>
              <w:kinsoku w:val="0"/>
              <w:autoSpaceDE w:val="0"/>
              <w:autoSpaceDN w:val="0"/>
              <w:adjustRightInd w:val="0"/>
              <w:snapToGrid w:val="0"/>
              <w:spacing w:before="54"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0.1723</w:t>
            </w:r>
          </w:p>
        </w:tc>
        <w:tc>
          <w:tcPr>
            <w:tcW w:w="1213" w:type="dxa"/>
            <w:tcBorders>
              <w:tl2br w:val="nil"/>
              <w:tr2bl w:val="nil"/>
            </w:tcBorders>
            <w:noWrap w:val="0"/>
            <w:vAlign w:val="center"/>
          </w:tcPr>
          <w:p>
            <w:pPr>
              <w:widowControl/>
              <w:tabs>
                <w:tab w:val="left" w:pos="286"/>
                <w:tab w:val="center" w:pos="664"/>
              </w:tabs>
              <w:kinsoku w:val="0"/>
              <w:autoSpaceDE w:val="0"/>
              <w:autoSpaceDN w:val="0"/>
              <w:adjustRightInd w:val="0"/>
              <w:snapToGrid w:val="0"/>
              <w:spacing w:before="290"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w:t>
            </w:r>
            <w:r>
              <w:rPr>
                <w:rFonts w:hint="default" w:ascii="Times New Roman" w:hAnsi="Times New Roman" w:eastAsia="Times New Roman" w:cs="Times New Roman"/>
                <w:snapToGrid w:val="0"/>
                <w:color w:val="000000"/>
                <w:spacing w:val="4"/>
                <w:kern w:val="0"/>
                <w:sz w:val="19"/>
                <w:szCs w:val="19"/>
              </w:rPr>
              <w:t>024</w:t>
            </w:r>
            <w:r>
              <w:rPr>
                <w:rFonts w:hint="eastAsia" w:ascii="仿宋" w:hAnsi="仿宋" w:eastAsia="仿宋" w:cs="仿宋"/>
                <w:snapToGrid w:val="0"/>
                <w:color w:val="000000"/>
                <w:spacing w:val="4"/>
                <w:kern w:val="0"/>
                <w:sz w:val="19"/>
                <w:szCs w:val="19"/>
              </w:rPr>
              <w:t>年</w:t>
            </w:r>
          </w:p>
        </w:tc>
        <w:tc>
          <w:tcPr>
            <w:tcW w:w="2546" w:type="dxa"/>
            <w:tcBorders>
              <w:tl2br w:val="nil"/>
              <w:tr2bl w:val="nil"/>
            </w:tcBorders>
            <w:noWrap w:val="0"/>
            <w:vAlign w:val="center"/>
          </w:tcPr>
          <w:p>
            <w:pPr>
              <w:widowControl/>
              <w:kinsoku w:val="0"/>
              <w:autoSpaceDE w:val="0"/>
              <w:autoSpaceDN w:val="0"/>
              <w:adjustRightInd w:val="0"/>
              <w:snapToGrid w:val="0"/>
              <w:spacing w:before="21" w:beforeLines="0" w:afterLines="0" w:line="226" w:lineRule="auto"/>
              <w:jc w:val="center"/>
              <w:textAlignment w:val="baseline"/>
              <w:rPr>
                <w:rFonts w:hint="eastAsia" w:ascii="仿宋" w:hAnsi="仿宋" w:eastAsia="仿宋" w:cs="仿宋"/>
                <w:snapToGrid w:val="0"/>
                <w:color w:val="000000"/>
                <w:spacing w:val="7"/>
                <w:kern w:val="0"/>
                <w:sz w:val="19"/>
                <w:szCs w:val="19"/>
              </w:rPr>
            </w:pPr>
            <w:r>
              <w:rPr>
                <w:rFonts w:hint="eastAsia" w:ascii="仿宋" w:hAnsi="仿宋" w:eastAsia="仿宋" w:cs="仿宋"/>
                <w:snapToGrid w:val="0"/>
                <w:color w:val="000000"/>
                <w:spacing w:val="7"/>
                <w:kern w:val="0"/>
                <w:sz w:val="19"/>
                <w:szCs w:val="19"/>
              </w:rPr>
              <w:t>东莞村回拨地及周边道路</w:t>
            </w:r>
          </w:p>
          <w:p>
            <w:pPr>
              <w:widowControl/>
              <w:kinsoku w:val="0"/>
              <w:autoSpaceDE w:val="0"/>
              <w:autoSpaceDN w:val="0"/>
              <w:adjustRightInd w:val="0"/>
              <w:snapToGrid w:val="0"/>
              <w:spacing w:before="21" w:beforeLines="0" w:afterLines="0" w:line="226"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（2022年第十八批次）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restart"/>
            <w:tcBorders>
              <w:tl2br w:val="nil"/>
              <w:tr2bl w:val="nil"/>
            </w:tcBorders>
            <w:noWrap w:val="0"/>
            <w:vAlign w:val="center"/>
          </w:tcPr>
          <w:p>
            <w:pPr>
              <w:widowControl/>
              <w:kinsoku w:val="0"/>
              <w:autoSpaceDE w:val="0"/>
              <w:autoSpaceDN w:val="0"/>
              <w:adjustRightInd w:val="0"/>
              <w:snapToGrid w:val="0"/>
              <w:spacing w:before="62" w:beforeLines="0" w:afterLines="0" w:line="266" w:lineRule="auto"/>
              <w:ind w:right="115"/>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石化拓展区搬迁安置区</w:t>
            </w:r>
          </w:p>
        </w:tc>
        <w:tc>
          <w:tcPr>
            <w:tcW w:w="1005" w:type="dxa"/>
            <w:tcBorders>
              <w:tl2br w:val="nil"/>
              <w:tr2bl w:val="nil"/>
            </w:tcBorders>
            <w:noWrap w:val="0"/>
            <w:vAlign w:val="center"/>
          </w:tcPr>
          <w:p>
            <w:pPr>
              <w:widowControl/>
              <w:kinsoku w:val="0"/>
              <w:autoSpaceDE w:val="0"/>
              <w:autoSpaceDN w:val="0"/>
              <w:adjustRightInd w:val="0"/>
              <w:snapToGrid w:val="0"/>
              <w:spacing w:before="196"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2"/>
                <w:kern w:val="0"/>
                <w:sz w:val="19"/>
                <w:szCs w:val="19"/>
              </w:rPr>
              <w:t>NZSDK</w:t>
            </w:r>
            <w:r>
              <w:rPr>
                <w:rFonts w:hint="eastAsia" w:ascii="Times New Roman" w:hAnsi="Times New Roman" w:eastAsia="宋体" w:cs="Times New Roman"/>
                <w:snapToGrid w:val="0"/>
                <w:color w:val="000000"/>
                <w:spacing w:val="-2"/>
                <w:kern w:val="0"/>
                <w:sz w:val="19"/>
                <w:szCs w:val="19"/>
                <w:lang w:val="en-US" w:eastAsia="zh-CN"/>
              </w:rPr>
              <w:t>9</w:t>
            </w:r>
          </w:p>
        </w:tc>
        <w:tc>
          <w:tcPr>
            <w:tcW w:w="925" w:type="dxa"/>
            <w:tcBorders>
              <w:tl2br w:val="nil"/>
              <w:tr2bl w:val="nil"/>
            </w:tcBorders>
            <w:noWrap w:val="0"/>
            <w:vAlign w:val="center"/>
          </w:tcPr>
          <w:p>
            <w:pPr>
              <w:widowControl/>
              <w:kinsoku w:val="0"/>
              <w:autoSpaceDE w:val="0"/>
              <w:autoSpaceDN w:val="0"/>
              <w:adjustRightInd w:val="0"/>
              <w:snapToGrid w:val="0"/>
              <w:spacing w:before="33" w:beforeLines="0" w:afterLines="0" w:line="238" w:lineRule="auto"/>
              <w:ind w:right="148"/>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lang w:eastAsia="zh-CN"/>
              </w:rPr>
              <w:t>居住项目</w:t>
            </w:r>
          </w:p>
        </w:tc>
        <w:tc>
          <w:tcPr>
            <w:tcW w:w="863" w:type="dxa"/>
            <w:tcBorders>
              <w:tl2br w:val="nil"/>
              <w:tr2bl w:val="nil"/>
            </w:tcBorders>
            <w:noWrap w:val="0"/>
            <w:vAlign w:val="center"/>
          </w:tcPr>
          <w:p>
            <w:pPr>
              <w:widowControl/>
              <w:kinsoku w:val="0"/>
              <w:autoSpaceDE w:val="0"/>
              <w:autoSpaceDN w:val="0"/>
              <w:adjustRightInd w:val="0"/>
              <w:snapToGrid w:val="0"/>
              <w:spacing w:before="161"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住宅用地</w:t>
            </w:r>
          </w:p>
        </w:tc>
        <w:tc>
          <w:tcPr>
            <w:tcW w:w="987" w:type="dxa"/>
            <w:tcBorders>
              <w:tl2br w:val="nil"/>
              <w:tr2bl w:val="nil"/>
            </w:tcBorders>
            <w:noWrap w:val="0"/>
            <w:vAlign w:val="center"/>
          </w:tcPr>
          <w:p>
            <w:pPr>
              <w:widowControl/>
              <w:kinsoku w:val="0"/>
              <w:autoSpaceDE w:val="0"/>
              <w:autoSpaceDN w:val="0"/>
              <w:adjustRightInd w:val="0"/>
              <w:snapToGrid w:val="0"/>
              <w:spacing w:before="196"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3.3674</w:t>
            </w:r>
          </w:p>
        </w:tc>
        <w:tc>
          <w:tcPr>
            <w:tcW w:w="1213" w:type="dxa"/>
            <w:tcBorders>
              <w:tl2br w:val="nil"/>
              <w:tr2bl w:val="nil"/>
            </w:tcBorders>
            <w:noWrap w:val="0"/>
            <w:vAlign w:val="center"/>
          </w:tcPr>
          <w:p>
            <w:pPr>
              <w:widowControl/>
              <w:kinsoku w:val="0"/>
              <w:autoSpaceDE w:val="0"/>
              <w:autoSpaceDN w:val="0"/>
              <w:adjustRightInd w:val="0"/>
              <w:snapToGrid w:val="0"/>
              <w:spacing w:before="162"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62" w:beforeLines="0" w:afterLines="0" w:line="228" w:lineRule="auto"/>
              <w:jc w:val="center"/>
              <w:textAlignment w:val="baseline"/>
              <w:rPr>
                <w:rFonts w:hint="eastAsia" w:ascii="仿宋" w:hAnsi="仿宋" w:eastAsia="仿宋" w:cs="仿宋"/>
                <w:snapToGrid w:val="0"/>
                <w:color w:val="000000"/>
                <w:spacing w:val="10"/>
                <w:kern w:val="0"/>
                <w:sz w:val="19"/>
                <w:szCs w:val="19"/>
              </w:rPr>
            </w:pPr>
            <w:r>
              <w:rPr>
                <w:rFonts w:hint="eastAsia" w:ascii="仿宋" w:hAnsi="仿宋" w:eastAsia="仿宋" w:cs="仿宋"/>
                <w:snapToGrid w:val="0"/>
                <w:color w:val="000000"/>
                <w:spacing w:val="10"/>
                <w:kern w:val="0"/>
                <w:sz w:val="19"/>
                <w:szCs w:val="19"/>
              </w:rPr>
              <w:t>石化拓展区搬迁安置区</w:t>
            </w:r>
          </w:p>
          <w:p>
            <w:pPr>
              <w:widowControl/>
              <w:kinsoku w:val="0"/>
              <w:autoSpaceDE w:val="0"/>
              <w:autoSpaceDN w:val="0"/>
              <w:adjustRightInd w:val="0"/>
              <w:snapToGrid w:val="0"/>
              <w:spacing w:before="162" w:beforeLines="0" w:afterLines="0" w:line="228"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0"/>
                <w:kern w:val="0"/>
                <w:sz w:val="19"/>
                <w:szCs w:val="19"/>
              </w:rPr>
              <w:t>（2023年第二十三批次）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8"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2"/>
                <w:kern w:val="0"/>
                <w:sz w:val="19"/>
                <w:szCs w:val="19"/>
              </w:rPr>
              <w:t>NZSDK</w:t>
            </w:r>
            <w:r>
              <w:rPr>
                <w:rFonts w:hint="eastAsia" w:ascii="Times New Roman" w:hAnsi="Times New Roman" w:eastAsia="宋体" w:cs="Times New Roman"/>
                <w:snapToGrid w:val="0"/>
                <w:color w:val="000000"/>
                <w:spacing w:val="-2"/>
                <w:kern w:val="0"/>
                <w:sz w:val="19"/>
                <w:szCs w:val="19"/>
                <w:lang w:val="en-US" w:eastAsia="zh-CN"/>
              </w:rPr>
              <w:t>10</w:t>
            </w:r>
          </w:p>
        </w:tc>
        <w:tc>
          <w:tcPr>
            <w:tcW w:w="925" w:type="dxa"/>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居</w:t>
            </w:r>
            <w:r>
              <w:rPr>
                <w:rFonts w:hint="eastAsia" w:ascii="仿宋" w:hAnsi="仿宋" w:eastAsia="仿宋" w:cs="仿宋"/>
                <w:snapToGrid w:val="0"/>
                <w:color w:val="000000"/>
                <w:spacing w:val="6"/>
                <w:kern w:val="0"/>
                <w:sz w:val="19"/>
                <w:szCs w:val="19"/>
              </w:rPr>
              <w:t>住项目</w:t>
            </w:r>
          </w:p>
        </w:tc>
        <w:tc>
          <w:tcPr>
            <w:tcW w:w="863" w:type="dxa"/>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住宅用地</w:t>
            </w:r>
          </w:p>
        </w:tc>
        <w:tc>
          <w:tcPr>
            <w:tcW w:w="987" w:type="dxa"/>
            <w:tcBorders>
              <w:tl2br w:val="nil"/>
              <w:tr2bl w:val="nil"/>
            </w:tcBorders>
            <w:noWrap w:val="0"/>
            <w:vAlign w:val="center"/>
          </w:tcPr>
          <w:p>
            <w:pPr>
              <w:widowControl/>
              <w:kinsoku w:val="0"/>
              <w:autoSpaceDE w:val="0"/>
              <w:autoSpaceDN w:val="0"/>
              <w:adjustRightInd w:val="0"/>
              <w:snapToGrid w:val="0"/>
              <w:spacing w:before="137"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3.4668</w:t>
            </w:r>
          </w:p>
        </w:tc>
        <w:tc>
          <w:tcPr>
            <w:tcW w:w="1213" w:type="dxa"/>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spacing w:val="7"/>
                <w:kern w:val="0"/>
                <w:sz w:val="19"/>
                <w:szCs w:val="19"/>
              </w:rPr>
            </w:pPr>
            <w:r>
              <w:rPr>
                <w:rFonts w:hint="eastAsia" w:ascii="仿宋" w:hAnsi="仿宋" w:eastAsia="仿宋" w:cs="仿宋"/>
                <w:snapToGrid w:val="0"/>
                <w:color w:val="000000"/>
                <w:spacing w:val="7"/>
                <w:kern w:val="0"/>
                <w:sz w:val="19"/>
                <w:szCs w:val="19"/>
              </w:rPr>
              <w:t>石化拓展区搬迁安置区</w:t>
            </w:r>
          </w:p>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（2023年第二十三批次）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139"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2"/>
                <w:kern w:val="0"/>
                <w:sz w:val="19"/>
                <w:szCs w:val="19"/>
              </w:rPr>
              <w:t>NZSDK</w:t>
            </w:r>
            <w:r>
              <w:rPr>
                <w:rFonts w:hint="eastAsia" w:ascii="Times New Roman" w:hAnsi="Times New Roman" w:eastAsia="宋体" w:cs="Times New Roman"/>
                <w:snapToGrid w:val="0"/>
                <w:color w:val="000000"/>
                <w:spacing w:val="-2"/>
                <w:kern w:val="0"/>
                <w:sz w:val="19"/>
                <w:szCs w:val="19"/>
                <w:lang w:val="en-US" w:eastAsia="zh-CN"/>
              </w:rPr>
              <w:t>11</w:t>
            </w:r>
          </w:p>
        </w:tc>
        <w:tc>
          <w:tcPr>
            <w:tcW w:w="925" w:type="dxa"/>
            <w:tcBorders>
              <w:tl2br w:val="nil"/>
              <w:tr2bl w:val="nil"/>
            </w:tcBorders>
            <w:noWrap w:val="0"/>
            <w:vAlign w:val="center"/>
          </w:tcPr>
          <w:p>
            <w:pPr>
              <w:widowControl/>
              <w:kinsoku w:val="0"/>
              <w:autoSpaceDE w:val="0"/>
              <w:autoSpaceDN w:val="0"/>
              <w:adjustRightInd w:val="0"/>
              <w:snapToGrid w:val="0"/>
              <w:spacing w:before="104"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居</w:t>
            </w:r>
            <w:r>
              <w:rPr>
                <w:rFonts w:hint="eastAsia" w:ascii="仿宋" w:hAnsi="仿宋" w:eastAsia="仿宋" w:cs="仿宋"/>
                <w:snapToGrid w:val="0"/>
                <w:color w:val="000000"/>
                <w:spacing w:val="6"/>
                <w:kern w:val="0"/>
                <w:sz w:val="19"/>
                <w:szCs w:val="19"/>
              </w:rPr>
              <w:t>住项目</w:t>
            </w:r>
          </w:p>
        </w:tc>
        <w:tc>
          <w:tcPr>
            <w:tcW w:w="863" w:type="dxa"/>
            <w:tcBorders>
              <w:tl2br w:val="nil"/>
              <w:tr2bl w:val="nil"/>
            </w:tcBorders>
            <w:noWrap w:val="0"/>
            <w:vAlign w:val="center"/>
          </w:tcPr>
          <w:p>
            <w:pPr>
              <w:widowControl/>
              <w:kinsoku w:val="0"/>
              <w:autoSpaceDE w:val="0"/>
              <w:autoSpaceDN w:val="0"/>
              <w:adjustRightInd w:val="0"/>
              <w:snapToGrid w:val="0"/>
              <w:spacing w:before="104"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住宅用地</w:t>
            </w:r>
          </w:p>
        </w:tc>
        <w:tc>
          <w:tcPr>
            <w:tcW w:w="987" w:type="dxa"/>
            <w:tcBorders>
              <w:tl2br w:val="nil"/>
              <w:tr2bl w:val="nil"/>
            </w:tcBorders>
            <w:noWrap w:val="0"/>
            <w:vAlign w:val="center"/>
          </w:tcPr>
          <w:p>
            <w:pPr>
              <w:widowControl/>
              <w:kinsoku w:val="0"/>
              <w:autoSpaceDE w:val="0"/>
              <w:autoSpaceDN w:val="0"/>
              <w:adjustRightInd w:val="0"/>
              <w:snapToGrid w:val="0"/>
              <w:spacing w:before="138"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3.5646</w:t>
            </w:r>
          </w:p>
        </w:tc>
        <w:tc>
          <w:tcPr>
            <w:tcW w:w="1213" w:type="dxa"/>
            <w:tcBorders>
              <w:tl2br w:val="nil"/>
              <w:tr2bl w:val="nil"/>
            </w:tcBorders>
            <w:noWrap w:val="0"/>
            <w:vAlign w:val="center"/>
          </w:tcPr>
          <w:p>
            <w:pPr>
              <w:widowControl/>
              <w:kinsoku w:val="0"/>
              <w:autoSpaceDE w:val="0"/>
              <w:autoSpaceDN w:val="0"/>
              <w:adjustRightInd w:val="0"/>
              <w:snapToGrid w:val="0"/>
              <w:spacing w:before="104"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4" w:beforeLines="0" w:afterLines="0" w:line="231" w:lineRule="auto"/>
              <w:jc w:val="center"/>
              <w:textAlignment w:val="baseline"/>
              <w:rPr>
                <w:rFonts w:hint="eastAsia" w:ascii="仿宋" w:hAnsi="仿宋" w:eastAsia="仿宋" w:cs="仿宋"/>
                <w:snapToGrid w:val="0"/>
                <w:color w:val="000000"/>
                <w:spacing w:val="7"/>
                <w:kern w:val="0"/>
                <w:sz w:val="19"/>
                <w:szCs w:val="19"/>
              </w:rPr>
            </w:pPr>
            <w:r>
              <w:rPr>
                <w:rFonts w:hint="eastAsia" w:ascii="仿宋" w:hAnsi="仿宋" w:eastAsia="仿宋" w:cs="仿宋"/>
                <w:snapToGrid w:val="0"/>
                <w:color w:val="000000"/>
                <w:spacing w:val="7"/>
                <w:kern w:val="0"/>
                <w:sz w:val="19"/>
                <w:szCs w:val="19"/>
              </w:rPr>
              <w:t>石化拓展区搬迁安置区</w:t>
            </w:r>
          </w:p>
          <w:p>
            <w:pPr>
              <w:widowControl/>
              <w:kinsoku w:val="0"/>
              <w:autoSpaceDE w:val="0"/>
              <w:autoSpaceDN w:val="0"/>
              <w:adjustRightInd w:val="0"/>
              <w:snapToGrid w:val="0"/>
              <w:spacing w:before="104"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（2023年第二十三批次）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restart"/>
            <w:tcBorders>
              <w:tl2br w:val="nil"/>
              <w:tr2bl w:val="nil"/>
            </w:tcBorders>
            <w:noWrap w:val="0"/>
            <w:vAlign w:val="center"/>
          </w:tcPr>
          <w:p>
            <w:pPr>
              <w:widowControl/>
              <w:kinsoku w:val="0"/>
              <w:autoSpaceDE w:val="0"/>
              <w:autoSpaceDN w:val="0"/>
              <w:adjustRightInd w:val="0"/>
              <w:snapToGrid w:val="0"/>
              <w:spacing w:before="62" w:beforeLines="0" w:afterLines="0" w:line="266" w:lineRule="auto"/>
              <w:ind w:left="129" w:right="115" w:hanging="3"/>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塘横首开区</w:t>
            </w:r>
          </w:p>
        </w:tc>
        <w:tc>
          <w:tcPr>
            <w:tcW w:w="1005" w:type="dxa"/>
            <w:tcBorders>
              <w:tl2br w:val="nil"/>
              <w:tr2bl w:val="nil"/>
            </w:tcBorders>
            <w:noWrap w:val="0"/>
            <w:vAlign w:val="center"/>
          </w:tcPr>
          <w:p>
            <w:pPr>
              <w:widowControl/>
              <w:kinsoku w:val="0"/>
              <w:autoSpaceDE w:val="0"/>
              <w:autoSpaceDN w:val="0"/>
              <w:adjustRightInd w:val="0"/>
              <w:snapToGrid w:val="0"/>
              <w:spacing w:before="137"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2"/>
                <w:kern w:val="0"/>
                <w:sz w:val="19"/>
                <w:szCs w:val="19"/>
              </w:rPr>
              <w:t>NZSDK</w:t>
            </w:r>
            <w:r>
              <w:rPr>
                <w:rFonts w:hint="eastAsia" w:ascii="Times New Roman" w:hAnsi="Times New Roman" w:eastAsia="宋体" w:cs="Times New Roman"/>
                <w:snapToGrid w:val="0"/>
                <w:color w:val="000000"/>
                <w:spacing w:val="-2"/>
                <w:kern w:val="0"/>
                <w:sz w:val="19"/>
                <w:szCs w:val="19"/>
                <w:lang w:val="en-US" w:eastAsia="zh-CN"/>
              </w:rPr>
              <w:t>12</w:t>
            </w:r>
          </w:p>
        </w:tc>
        <w:tc>
          <w:tcPr>
            <w:tcW w:w="925" w:type="dxa"/>
            <w:tcBorders>
              <w:tl2br w:val="nil"/>
              <w:tr2bl w:val="nil"/>
            </w:tcBorders>
            <w:noWrap w:val="0"/>
            <w:vAlign w:val="center"/>
          </w:tcPr>
          <w:p>
            <w:pPr>
              <w:widowControl/>
              <w:kinsoku w:val="0"/>
              <w:autoSpaceDE w:val="0"/>
              <w:autoSpaceDN w:val="0"/>
              <w:adjustRightInd w:val="0"/>
              <w:snapToGrid w:val="0"/>
              <w:spacing w:before="102"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工矿项目</w:t>
            </w:r>
          </w:p>
        </w:tc>
        <w:tc>
          <w:tcPr>
            <w:tcW w:w="863" w:type="dxa"/>
            <w:tcBorders>
              <w:tl2br w:val="nil"/>
              <w:tr2bl w:val="nil"/>
            </w:tcBorders>
            <w:noWrap w:val="0"/>
            <w:vAlign w:val="center"/>
          </w:tcPr>
          <w:p>
            <w:pPr>
              <w:widowControl/>
              <w:kinsoku w:val="0"/>
              <w:autoSpaceDE w:val="0"/>
              <w:autoSpaceDN w:val="0"/>
              <w:adjustRightInd w:val="0"/>
              <w:snapToGrid w:val="0"/>
              <w:spacing w:before="102"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工矿用地</w:t>
            </w:r>
          </w:p>
        </w:tc>
        <w:tc>
          <w:tcPr>
            <w:tcW w:w="987" w:type="dxa"/>
            <w:tcBorders>
              <w:tl2br w:val="nil"/>
              <w:tr2bl w:val="nil"/>
            </w:tcBorders>
            <w:noWrap w:val="0"/>
            <w:vAlign w:val="center"/>
          </w:tcPr>
          <w:p>
            <w:pPr>
              <w:widowControl/>
              <w:kinsoku w:val="0"/>
              <w:autoSpaceDE w:val="0"/>
              <w:autoSpaceDN w:val="0"/>
              <w:adjustRightInd w:val="0"/>
              <w:snapToGrid w:val="0"/>
              <w:spacing w:before="137"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2.0552</w:t>
            </w:r>
          </w:p>
        </w:tc>
        <w:tc>
          <w:tcPr>
            <w:tcW w:w="1213" w:type="dxa"/>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102" w:beforeLines="0" w:afterLines="0" w:line="231" w:lineRule="auto"/>
              <w:jc w:val="center"/>
              <w:textAlignment w:val="baseline"/>
              <w:rPr>
                <w:rFonts w:hint="eastAsia" w:ascii="仿宋" w:hAnsi="仿宋" w:eastAsia="仿宋" w:cs="仿宋"/>
                <w:snapToGrid w:val="0"/>
                <w:color w:val="000000"/>
                <w:spacing w:val="11"/>
                <w:kern w:val="0"/>
                <w:sz w:val="19"/>
                <w:szCs w:val="19"/>
              </w:rPr>
            </w:pPr>
            <w:r>
              <w:rPr>
                <w:rFonts w:hint="eastAsia" w:ascii="仿宋" w:hAnsi="仿宋" w:eastAsia="仿宋" w:cs="仿宋"/>
                <w:snapToGrid w:val="0"/>
                <w:color w:val="000000"/>
                <w:spacing w:val="11"/>
                <w:kern w:val="0"/>
                <w:sz w:val="19"/>
                <w:szCs w:val="19"/>
              </w:rPr>
              <w:t>塘横首开区</w:t>
            </w:r>
          </w:p>
          <w:p>
            <w:pPr>
              <w:widowControl/>
              <w:kinsoku w:val="0"/>
              <w:autoSpaceDE w:val="0"/>
              <w:autoSpaceDN w:val="0"/>
              <w:adjustRightInd w:val="0"/>
              <w:snapToGrid w:val="0"/>
              <w:spacing w:before="102"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1"/>
                <w:kern w:val="0"/>
                <w:sz w:val="19"/>
                <w:szCs w:val="19"/>
              </w:rPr>
              <w:t>（2023年第二批次）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1102" w:type="dxa"/>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005" w:type="dxa"/>
            <w:tcBorders>
              <w:tl2br w:val="nil"/>
              <w:tr2bl w:val="nil"/>
            </w:tcBorders>
            <w:noWrap w:val="0"/>
            <w:vAlign w:val="center"/>
          </w:tcPr>
          <w:p>
            <w:pPr>
              <w:widowControl/>
              <w:kinsoku w:val="0"/>
              <w:autoSpaceDE w:val="0"/>
              <w:autoSpaceDN w:val="0"/>
              <w:adjustRightInd w:val="0"/>
              <w:snapToGrid w:val="0"/>
              <w:spacing w:before="5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13</w:t>
            </w:r>
          </w:p>
        </w:tc>
        <w:tc>
          <w:tcPr>
            <w:tcW w:w="925" w:type="dxa"/>
            <w:tcBorders>
              <w:tl2br w:val="nil"/>
              <w:tr2bl w:val="nil"/>
            </w:tcBorders>
            <w:noWrap w:val="0"/>
            <w:vAlign w:val="top"/>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工矿项目</w:t>
            </w:r>
          </w:p>
        </w:tc>
        <w:tc>
          <w:tcPr>
            <w:tcW w:w="863" w:type="dxa"/>
            <w:tcBorders>
              <w:tl2br w:val="nil"/>
              <w:tr2bl w:val="nil"/>
            </w:tcBorders>
            <w:noWrap w:val="0"/>
            <w:vAlign w:val="top"/>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工矿用地</w:t>
            </w:r>
          </w:p>
        </w:tc>
        <w:tc>
          <w:tcPr>
            <w:tcW w:w="987" w:type="dxa"/>
            <w:tcBorders>
              <w:tl2br w:val="nil"/>
              <w:tr2bl w:val="nil"/>
            </w:tcBorders>
            <w:noWrap w:val="0"/>
            <w:vAlign w:val="center"/>
          </w:tcPr>
          <w:p>
            <w:pPr>
              <w:widowControl/>
              <w:kinsoku w:val="0"/>
              <w:autoSpaceDE w:val="0"/>
              <w:autoSpaceDN w:val="0"/>
              <w:adjustRightInd w:val="0"/>
              <w:snapToGrid w:val="0"/>
              <w:spacing w:before="55"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2.1527</w:t>
            </w:r>
          </w:p>
        </w:tc>
        <w:tc>
          <w:tcPr>
            <w:tcW w:w="1213" w:type="dxa"/>
            <w:tcBorders>
              <w:tl2br w:val="nil"/>
              <w:tr2bl w:val="nil"/>
            </w:tcBorders>
            <w:noWrap w:val="0"/>
            <w:vAlign w:val="top"/>
          </w:tcPr>
          <w:p>
            <w:pPr>
              <w:widowControl/>
              <w:kinsoku w:val="0"/>
              <w:autoSpaceDE w:val="0"/>
              <w:autoSpaceDN w:val="0"/>
              <w:adjustRightInd w:val="0"/>
              <w:snapToGrid w:val="0"/>
              <w:spacing w:before="294"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Times New Roman" w:hAnsi="Times New Roman" w:eastAsia="宋体" w:cs="Times New Roman"/>
                <w:snapToGrid w:val="0"/>
                <w:color w:val="000000"/>
                <w:spacing w:val="7"/>
                <w:kern w:val="0"/>
                <w:sz w:val="19"/>
                <w:szCs w:val="19"/>
                <w:lang w:val="en-US" w:eastAsia="zh-CN"/>
              </w:rPr>
              <w:t>2024年</w:t>
            </w:r>
          </w:p>
        </w:tc>
        <w:tc>
          <w:tcPr>
            <w:tcW w:w="2546" w:type="dxa"/>
            <w:tcBorders>
              <w:tl2br w:val="nil"/>
              <w:tr2bl w:val="nil"/>
            </w:tcBorders>
            <w:noWrap w:val="0"/>
            <w:vAlign w:val="center"/>
          </w:tcPr>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塘横首开区</w:t>
            </w:r>
          </w:p>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（2023年第二批次）</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9" w:name="_Toc22154"/>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效益评估</w:t>
      </w:r>
      <w:bookmarkEnd w:id="9"/>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(一)土地利用效益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建设主要是建设石化拓展区项目、居住项目和基础设施项目为主，通过土地征收成片开发，规模化征地及利用，实现统一规划、统一配套、统一开发、统一建设、统一管理，科学优化城乡的生产、生活、生态空间，提升城乡用地效能；形成有利于产业发展的布局，便于开展大规模土地基础设施建设，形成功能齐全的土地区块；改善土地使用粗放、用地浪费的现状，节约集约利用土地，提高土地利用效率，实现土地的综合利用和高效利用，建设指标得到最大化的使用。</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布局优化方面，本次方案全面优化城乡建设、产业发展、生态空间布局，打造“三生融合”的高品质发展平台。按照产城融合发展模式科学划定用地布局，在产业园区周边完善生产生活配套，着力构建生产空间集约高效、生活空间宜居适度、生态空间山清水秀的国土空间开发保护总体格局。</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（二）经济效益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全国构建以国内大循环为主体、国内国际双循环相互促进的新发展格局背景下，本次土地征收成片开发建设，贯彻“创新、协调、绿色、开发、共享”新发展理念，大力推进科技创新类项目建设，拓展优化石化区发展空间，促进产业集聚和产业转型升级，提高片区科技创新能力，建成现代经济体系，全力支撑惠州市打造石化能源新材料、电子信息和生命健康“</w:t>
      </w:r>
      <w:r>
        <w:rPr>
          <w:rFonts w:hint="default" w:ascii="仿宋" w:hAnsi="仿宋" w:eastAsia="仿宋" w:cs="仿宋"/>
          <w:snapToGrid w:val="0"/>
          <w:color w:val="000000"/>
          <w:spacing w:val="5"/>
          <w:kern w:val="0"/>
          <w:sz w:val="31"/>
          <w:szCs w:val="31"/>
          <w:lang w:val="en-US" w:eastAsia="zh-CN"/>
        </w:rPr>
        <w:t>2+1</w:t>
      </w:r>
      <w:r>
        <w:rPr>
          <w:rFonts w:hint="eastAsia" w:ascii="仿宋" w:hAnsi="仿宋" w:eastAsia="仿宋" w:cs="仿宋"/>
          <w:snapToGrid w:val="0"/>
          <w:color w:val="000000"/>
          <w:spacing w:val="5"/>
          <w:kern w:val="0"/>
          <w:sz w:val="31"/>
          <w:szCs w:val="31"/>
          <w:lang w:val="en-US" w:eastAsia="zh-CN"/>
        </w:rPr>
        <w:t>”产业集群。同时打造高品质生活区，配建周边商业设施，加强片区商业活力和辐射力，完善片区基础设施配套，推进质量变革、效率变革、动力变革，实现地方经济更高质量、更有效率的发展。</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方案拓展优化石化区发展空间，规划建设一批产业链下游化工新材料和高端化学品项目，支撑大亚湾开发区打造成世界级绿色石化产业基地、国内一流开发区。项目建成后将充分带动大亚湾开发区生产总值增长，推动经济发展；为区域提供大量就业机会，提高区域就业率；拓展招商引资渠道，推进区域经济社会高质量发展。</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（三）社会效益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成片开发的实施，注重保障公共利益，为经济社会持续健康发展保驾护航，一是保障被征地人员的合法权益，为失地农民提供经济、社会保障；二是大力提升区域基础设施配套水平，提高当地居民工作生活的便利性。</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方案中包含了教育、交通、市政等基础设施和公共服务设施，土地征收成片开发方案的制定和实施推进片区内基础设施的建设和完善，有助于解决现状资源分布不均、供给相对不足的问题，匹配民生供给与居民的美好生活需求，实现公共服务均等化、城乡区域发展差距和居民生活水平差距显著缩小的目标，建成和美幸福家园。</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宜居方面，本次土地征收成片开发方案将建设适宜的居住区，加速完善片区内城市路网、基础设施和公共服务设施建设，有助于实现公共服务均等化、优质化，打造高品质居住区，提升人民群众获得感、幸福感和安全感。</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带动就业方面，本方案成片开发范围拟引进多家先进制造业企业，可提供大量就业岗位，能创造新的就业机会。随着企业的入驻，带动区域产业的发展，从事农业生产的居民就业渠道得以拓宽，既增加了农民的收入，也解决了部分剩余劳动力的就业问题，有利于消除社会不稳定因素。</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在城市形象方面，土地征收成片开发范围内的公园绿地、防护绿地等项目的建设，为片区提供了友好型的绿色生产生活空间，全面营造绿色、低碳、宜居的美丽惠阳。</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（四）生态效益评估</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本方案成片开发项目选址充分考虑生态效益，加强耕地特别是永久基本农田保护，不占用永久基本农田及各类自然保护区、生态红线和城市饮用水源保护地和重要环境敏感区，符合生态环境保护要求。</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成片开发方案涉及各个开发片区范围内，规划新增绿地与开敞空间用地，优化生态景观格局，提高城镇人居生态环境质量，恢复生态绿化功能，在减少水源污染、水土保持、涵养水源、降低噪音等方面能发挥显著作用，使生态环境实现良性循环，实现可持续发展；拟开发建设项目将通过采取有效的环境保护控制和消减措施，避免对区域大气环境、生态环境、地下水环境、土壤环境产生超出环境容量的影响，结合产业园、重点平台建设、城市更新等项目详细规划设计布置绿地，提供多元的城市生态空间、改善城市环境，大力建设绿色园区、绿色住区，满足宜居城区建设要求，推动高品质城市建设，实现生态效益和经济效益双赢。</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10" w:name="_Toc11195"/>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结论</w:t>
      </w:r>
      <w:bookmarkEnd w:id="10"/>
    </w:p>
    <w:p>
      <w:pPr>
        <w:keepNext w:val="0"/>
        <w:keepLines w:val="0"/>
        <w:pageBreakBefore w:val="0"/>
        <w:widowControl/>
        <w:kinsoku w:val="0"/>
        <w:wordWrap/>
        <w:overflowPunct/>
        <w:topLinePunct w:val="0"/>
        <w:autoSpaceDE w:val="0"/>
        <w:autoSpaceDN w:val="0"/>
        <w:bidi w:val="0"/>
        <w:adjustRightInd w:val="0"/>
        <w:snapToGrid w:val="0"/>
        <w:spacing w:before="205" w:beforeLines="0" w:afterLines="0" w:line="372" w:lineRule="auto"/>
        <w:ind w:firstLine="640" w:firstLineChars="200"/>
        <w:jc w:val="both"/>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综上所述，《惠州市惠阳区2023年度土地征收成片开发方案（第一批）》符合《自然资源部关于印发&lt;土地征收成片开发标准（试行）</w:t>
      </w:r>
      <w:r>
        <w:rPr>
          <w:rFonts w:hint="default" w:ascii="仿宋" w:hAnsi="仿宋" w:eastAsia="仿宋" w:cs="仿宋"/>
          <w:snapToGrid w:val="0"/>
          <w:color w:val="000000"/>
          <w:spacing w:val="5"/>
          <w:kern w:val="0"/>
          <w:sz w:val="31"/>
          <w:szCs w:val="31"/>
          <w:lang w:val="en-US" w:eastAsia="zh-CN"/>
        </w:rPr>
        <w:t>&gt;</w:t>
      </w:r>
      <w:r>
        <w:rPr>
          <w:rFonts w:hint="eastAsia" w:ascii="仿宋" w:hAnsi="仿宋" w:eastAsia="仿宋" w:cs="仿宋"/>
          <w:snapToGrid w:val="0"/>
          <w:color w:val="000000"/>
          <w:spacing w:val="5"/>
          <w:kern w:val="0"/>
          <w:sz w:val="31"/>
          <w:szCs w:val="31"/>
          <w:lang w:val="en-US" w:eastAsia="zh-CN"/>
        </w:rPr>
        <w:t>的通知》（自然资规〔</w:t>
      </w:r>
      <w:r>
        <w:rPr>
          <w:rFonts w:hint="default" w:ascii="仿宋" w:hAnsi="仿宋" w:eastAsia="仿宋" w:cs="仿宋"/>
          <w:snapToGrid w:val="0"/>
          <w:color w:val="000000"/>
          <w:spacing w:val="5"/>
          <w:kern w:val="0"/>
          <w:sz w:val="31"/>
          <w:szCs w:val="31"/>
          <w:lang w:val="en-US" w:eastAsia="zh-CN"/>
        </w:rPr>
        <w:t>2020</w:t>
      </w:r>
      <w:r>
        <w:rPr>
          <w:rFonts w:hint="eastAsia" w:ascii="仿宋" w:hAnsi="仿宋" w:eastAsia="仿宋" w:cs="仿宋"/>
          <w:snapToGrid w:val="0"/>
          <w:color w:val="000000"/>
          <w:spacing w:val="5"/>
          <w:kern w:val="0"/>
          <w:sz w:val="31"/>
          <w:szCs w:val="31"/>
          <w:lang w:val="en-US" w:eastAsia="zh-CN"/>
        </w:rPr>
        <w:t>〕</w:t>
      </w:r>
      <w:r>
        <w:rPr>
          <w:rFonts w:hint="default" w:ascii="仿宋" w:hAnsi="仿宋" w:eastAsia="仿宋" w:cs="仿宋"/>
          <w:snapToGrid w:val="0"/>
          <w:color w:val="000000"/>
          <w:spacing w:val="5"/>
          <w:kern w:val="0"/>
          <w:sz w:val="31"/>
          <w:szCs w:val="31"/>
          <w:lang w:val="en-US" w:eastAsia="zh-CN"/>
        </w:rPr>
        <w:t>5</w:t>
      </w:r>
      <w:r>
        <w:rPr>
          <w:rFonts w:hint="eastAsia" w:ascii="仿宋" w:hAnsi="仿宋" w:eastAsia="仿宋" w:cs="仿宋"/>
          <w:snapToGrid w:val="0"/>
          <w:color w:val="000000"/>
          <w:spacing w:val="5"/>
          <w:kern w:val="0"/>
          <w:sz w:val="31"/>
          <w:szCs w:val="31"/>
          <w:lang w:val="en-US" w:eastAsia="zh-CN"/>
        </w:rPr>
        <w:t>号）和《广东省自然资源厅关于规范土地征收成片开发工作的通知》（粤自然资发〔</w:t>
      </w:r>
      <w:r>
        <w:rPr>
          <w:rFonts w:hint="default" w:ascii="仿宋" w:hAnsi="仿宋" w:eastAsia="仿宋" w:cs="仿宋"/>
          <w:snapToGrid w:val="0"/>
          <w:color w:val="000000"/>
          <w:spacing w:val="5"/>
          <w:kern w:val="0"/>
          <w:sz w:val="31"/>
          <w:szCs w:val="31"/>
          <w:lang w:val="en-US" w:eastAsia="zh-CN"/>
        </w:rPr>
        <w:t>2021</w:t>
      </w:r>
      <w:r>
        <w:rPr>
          <w:rFonts w:hint="eastAsia" w:ascii="仿宋" w:hAnsi="仿宋" w:eastAsia="仿宋" w:cs="仿宋"/>
          <w:snapToGrid w:val="0"/>
          <w:color w:val="000000"/>
          <w:spacing w:val="5"/>
          <w:kern w:val="0"/>
          <w:sz w:val="31"/>
          <w:szCs w:val="31"/>
          <w:lang w:val="en-US" w:eastAsia="zh-CN"/>
        </w:rPr>
        <w:t>〕</w:t>
      </w:r>
      <w:r>
        <w:rPr>
          <w:rFonts w:hint="default" w:ascii="仿宋" w:hAnsi="仿宋" w:eastAsia="仿宋" w:cs="仿宋"/>
          <w:snapToGrid w:val="0"/>
          <w:color w:val="000000"/>
          <w:spacing w:val="5"/>
          <w:kern w:val="0"/>
          <w:sz w:val="31"/>
          <w:szCs w:val="31"/>
          <w:lang w:val="en-US" w:eastAsia="zh-CN"/>
        </w:rPr>
        <w:t>20</w:t>
      </w:r>
      <w:r>
        <w:rPr>
          <w:rFonts w:hint="eastAsia" w:ascii="仿宋" w:hAnsi="仿宋" w:eastAsia="仿宋" w:cs="仿宋"/>
          <w:snapToGrid w:val="0"/>
          <w:color w:val="000000"/>
          <w:spacing w:val="5"/>
          <w:kern w:val="0"/>
          <w:sz w:val="31"/>
          <w:szCs w:val="31"/>
          <w:lang w:val="en-US" w:eastAsia="zh-CN"/>
        </w:rPr>
        <w:t>号)的相关要求。</w:t>
      </w:r>
    </w:p>
    <w:p>
      <w:pPr>
        <w:ind w:firstLine="560" w:firstLineChars="200"/>
        <w:rPr>
          <w:rFonts w:ascii="Times New Roman" w:hAnsi="Times New Roman" w:eastAsia="仿宋" w:cs="Times New Roman"/>
          <w:bCs/>
          <w:sz w:val="28"/>
          <w:szCs w:val="36"/>
        </w:rPr>
      </w:pPr>
    </w:p>
    <w:p>
      <w:pPr>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ascii="Times New Roman" w:hAnsi="Times New Roman" w:eastAsia="仿宋" w:cs="Times New Roman"/>
          <w:bCs/>
          <w:sz w:val="28"/>
          <w:szCs w:val="36"/>
        </w:rPr>
      </w:pPr>
    </w:p>
    <w:sectPr>
      <w:headerReference r:id="rId3" w:type="default"/>
      <w:footerReference r:id="rId4" w:type="default"/>
      <w:pgSz w:w="11906" w:h="16838"/>
      <w:pgMar w:top="2098"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Times New Roman" w:hAnsi="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06469275"/>
                            <w:docPartObj>
                              <w:docPartGallery w:val="autotext"/>
                            </w:docPartObj>
                          </w:sdtPr>
                          <w:sdtEndPr>
                            <w:rPr>
                              <w:rFonts w:ascii="Times New Roman" w:hAnsi="Times New Roman" w:cs="Times New Roman"/>
                              <w:sz w:val="21"/>
                              <w:szCs w:val="21"/>
                            </w:rPr>
                          </w:sdtEndPr>
                          <w:sdtContent>
                            <w:p>
                              <w:pPr>
                                <w:pStyle w:val="6"/>
                                <w:jc w:val="center"/>
                                <w:rPr>
                                  <w:rFonts w:ascii="Times New Roman" w:hAnsi="Times New Roman" w:cs="Times New Roman"/>
                                  <w:sz w:val="21"/>
                                  <w:szCs w:val="21"/>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8</w:t>
                              </w:r>
                              <w:r>
                                <w:rPr>
                                  <w:rFonts w:hint="eastAsia" w:asciiTheme="minorEastAsia" w:hAnsiTheme="minorEastAsia" w:eastAsiaTheme="minorEastAsia" w:cstheme="minorEastAsia"/>
                                  <w:sz w:val="28"/>
                                  <w:szCs w:val="28"/>
                                </w:rPr>
                                <w:fldChar w:fldCharType="end"/>
                              </w:r>
                            </w:p>
                          </w:sdtContent>
                        </w:sdt>
                        <w:p>
                          <w:pPr>
                            <w:rPr>
                              <w:rFonts w:ascii="Times New Roman" w:hAnsi="Times New Roman" w:cs="Times New Roman"/>
                              <w:sz w:val="21"/>
                              <w:szCs w:val="21"/>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sdt>
                    <w:sdtPr>
                      <w:id w:val="-1306469275"/>
                      <w:docPartObj>
                        <w:docPartGallery w:val="autotext"/>
                      </w:docPartObj>
                    </w:sdtPr>
                    <w:sdtEndPr>
                      <w:rPr>
                        <w:rFonts w:ascii="Times New Roman" w:hAnsi="Times New Roman" w:cs="Times New Roman"/>
                        <w:sz w:val="21"/>
                        <w:szCs w:val="21"/>
                      </w:rPr>
                    </w:sdtEndPr>
                    <w:sdtContent>
                      <w:p>
                        <w:pPr>
                          <w:pStyle w:val="6"/>
                          <w:jc w:val="center"/>
                          <w:rPr>
                            <w:rFonts w:ascii="Times New Roman" w:hAnsi="Times New Roman" w:cs="Times New Roman"/>
                            <w:sz w:val="21"/>
                            <w:szCs w:val="21"/>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8</w:t>
                        </w:r>
                        <w:r>
                          <w:rPr>
                            <w:rFonts w:hint="eastAsia" w:asciiTheme="minorEastAsia" w:hAnsiTheme="minorEastAsia" w:eastAsiaTheme="minorEastAsia" w:cstheme="minorEastAsia"/>
                            <w:sz w:val="28"/>
                            <w:szCs w:val="28"/>
                          </w:rPr>
                          <w:fldChar w:fldCharType="end"/>
                        </w:r>
                      </w:p>
                    </w:sdtContent>
                  </w:sdt>
                  <w:p>
                    <w:pPr>
                      <w:rPr>
                        <w:rFonts w:ascii="Times New Roman" w:hAnsi="Times New Roman" w:cs="Times New Roman"/>
                        <w:sz w:val="21"/>
                        <w:szCs w:val="21"/>
                      </w:rPr>
                    </w:pPr>
                  </w:p>
                </w:txbxContent>
              </v:textbox>
            </v:shape>
          </w:pict>
        </mc:Fallback>
      </mc:AlternateContent>
    </w:r>
  </w:p>
  <w:p>
    <w:pPr>
      <w:pStyle w:val="6"/>
      <w:rPr>
        <w:rFonts w:ascii="Times New Roman" w:hAnsi="Times New Roman" w:cs="Times New Roman"/>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kinsoku w:val="0"/>
      <w:autoSpaceDE w:val="0"/>
      <w:autoSpaceDN w:val="0"/>
      <w:adjustRightInd w:val="0"/>
      <w:snapToGrid w:val="0"/>
      <w:spacing w:beforeLines="0" w:afterLines="0" w:line="240" w:lineRule="auto"/>
      <w:jc w:val="both"/>
      <w:textAlignment w:val="baseline"/>
      <w:outlineLvl w:val="9"/>
      <w:rPr>
        <w:rFonts w:hint="default" w:ascii="Arial" w:hAnsi="Arial" w:eastAsia="宋体" w:cs="Arial"/>
        <w:snapToGrid w:val="0"/>
        <w:color w:val="000000"/>
        <w:sz w:val="18"/>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FB7B5B"/>
    <w:multiLevelType w:val="singleLevel"/>
    <w:tmpl w:val="B2FB7B5B"/>
    <w:lvl w:ilvl="0" w:tentative="0">
      <w:start w:val="1"/>
      <w:numFmt w:val="chineseCounting"/>
      <w:suff w:val="nothing"/>
      <w:lvlText w:val="%1、"/>
      <w:lvlJc w:val="left"/>
      <w:rPr>
        <w:rFonts w:hint="eastAsia"/>
      </w:rPr>
    </w:lvl>
  </w:abstractNum>
  <w:abstractNum w:abstractNumId="1">
    <w:nsid w:val="425E8138"/>
    <w:multiLevelType w:val="singleLevel"/>
    <w:tmpl w:val="425E813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lYzE3NjI3YTRkYTk5ZTU5MjA5YmNhYTUwY2QwYzMifQ=="/>
  </w:docVars>
  <w:rsids>
    <w:rsidRoot w:val="00287D85"/>
    <w:rsid w:val="00023179"/>
    <w:rsid w:val="001774E2"/>
    <w:rsid w:val="0019194F"/>
    <w:rsid w:val="001D76A2"/>
    <w:rsid w:val="0020295C"/>
    <w:rsid w:val="002078F5"/>
    <w:rsid w:val="0021036B"/>
    <w:rsid w:val="00266D2B"/>
    <w:rsid w:val="00285811"/>
    <w:rsid w:val="00287D85"/>
    <w:rsid w:val="002A0D9C"/>
    <w:rsid w:val="002A23FB"/>
    <w:rsid w:val="002B4418"/>
    <w:rsid w:val="002F3A90"/>
    <w:rsid w:val="00307964"/>
    <w:rsid w:val="00334212"/>
    <w:rsid w:val="004517A6"/>
    <w:rsid w:val="00453223"/>
    <w:rsid w:val="0048373A"/>
    <w:rsid w:val="004A5131"/>
    <w:rsid w:val="004D017B"/>
    <w:rsid w:val="004D5410"/>
    <w:rsid w:val="005D3B15"/>
    <w:rsid w:val="005E5FE4"/>
    <w:rsid w:val="00692765"/>
    <w:rsid w:val="00697C9E"/>
    <w:rsid w:val="006A4D89"/>
    <w:rsid w:val="0071487B"/>
    <w:rsid w:val="00762142"/>
    <w:rsid w:val="007B3DF8"/>
    <w:rsid w:val="007B74B8"/>
    <w:rsid w:val="008330E6"/>
    <w:rsid w:val="00875455"/>
    <w:rsid w:val="00884010"/>
    <w:rsid w:val="008A7B1F"/>
    <w:rsid w:val="008F66EA"/>
    <w:rsid w:val="009154F4"/>
    <w:rsid w:val="00926ED9"/>
    <w:rsid w:val="00940F14"/>
    <w:rsid w:val="00996C14"/>
    <w:rsid w:val="009A076B"/>
    <w:rsid w:val="009C25EC"/>
    <w:rsid w:val="009F3DD5"/>
    <w:rsid w:val="00A27BCC"/>
    <w:rsid w:val="00A7768C"/>
    <w:rsid w:val="00AD46B0"/>
    <w:rsid w:val="00B071BF"/>
    <w:rsid w:val="00BB41DF"/>
    <w:rsid w:val="00C114AE"/>
    <w:rsid w:val="00C51B46"/>
    <w:rsid w:val="00CE5B53"/>
    <w:rsid w:val="00D63AE2"/>
    <w:rsid w:val="00D80CDE"/>
    <w:rsid w:val="00E16480"/>
    <w:rsid w:val="00E421DD"/>
    <w:rsid w:val="00F10DB8"/>
    <w:rsid w:val="00F855B5"/>
    <w:rsid w:val="00FE4A14"/>
    <w:rsid w:val="00FE72DE"/>
    <w:rsid w:val="04124B8F"/>
    <w:rsid w:val="094E1172"/>
    <w:rsid w:val="10E84C38"/>
    <w:rsid w:val="141F1718"/>
    <w:rsid w:val="399F0238"/>
    <w:rsid w:val="447D180A"/>
    <w:rsid w:val="4DAD370F"/>
    <w:rsid w:val="4F907700"/>
    <w:rsid w:val="6A574AAB"/>
    <w:rsid w:val="74F773E7"/>
    <w:rsid w:val="780E6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1"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qFormat/>
    <w:uiPriority w:val="1"/>
    <w:pPr>
      <w:autoSpaceDE w:val="0"/>
      <w:autoSpaceDN w:val="0"/>
      <w:ind w:left="763"/>
      <w:jc w:val="left"/>
      <w:outlineLvl w:val="2"/>
    </w:pPr>
    <w:rPr>
      <w:rFonts w:ascii="Microsoft JhengHei" w:hAnsi="Microsoft JhengHei" w:eastAsia="Microsoft JhengHei" w:cs="Microsoft JhengHei"/>
      <w:b/>
      <w:bCs/>
      <w:kern w:val="0"/>
      <w:sz w:val="32"/>
      <w:szCs w:val="32"/>
      <w:lang w:eastAsia="en-US"/>
    </w:rPr>
  </w:style>
  <w:style w:type="paragraph" w:styleId="5">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next w:val="3"/>
    <w:qFormat/>
    <w:uiPriority w:val="1"/>
    <w:pPr>
      <w:kinsoku w:val="0"/>
      <w:autoSpaceDE w:val="0"/>
      <w:autoSpaceDN w:val="0"/>
      <w:adjustRightInd w:val="0"/>
      <w:snapToGrid w:val="0"/>
      <w:spacing w:beforeLines="0" w:after="120" w:afterLines="50" w:line="360" w:lineRule="auto"/>
      <w:ind w:firstLine="560" w:firstLineChars="200"/>
      <w:textAlignment w:val="baseline"/>
    </w:pPr>
    <w:rPr>
      <w:rFonts w:hint="default" w:ascii="Arial" w:hAnsi="Arial" w:eastAsia="宋体" w:cs="宋体"/>
      <w:snapToGrid w:val="0"/>
      <w:color w:val="000000"/>
      <w:kern w:val="0"/>
      <w:sz w:val="21"/>
      <w:szCs w:val="28"/>
      <w:lang w:eastAsia="en-US"/>
    </w:rPr>
  </w:style>
  <w:style w:type="paragraph" w:styleId="3">
    <w:name w:val="toc 5"/>
    <w:next w:val="1"/>
    <w:unhideWhenUsed/>
    <w:qFormat/>
    <w:uiPriority w:val="39"/>
    <w:pPr>
      <w:kinsoku w:val="0"/>
      <w:autoSpaceDE w:val="0"/>
      <w:autoSpaceDN w:val="0"/>
      <w:adjustRightInd w:val="0"/>
      <w:snapToGrid w:val="0"/>
      <w:spacing w:beforeLines="0" w:afterLines="0"/>
      <w:ind w:left="1680" w:leftChars="800"/>
      <w:textAlignment w:val="baseline"/>
    </w:pPr>
    <w:rPr>
      <w:rFonts w:hint="default" w:ascii="Arial" w:hAnsi="Arial" w:eastAsia="宋体" w:cs="Arial"/>
      <w:snapToGrid w:val="0"/>
      <w:color w:val="000000"/>
      <w:sz w:val="21"/>
      <w:szCs w:val="21"/>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next w:val="1"/>
    <w:qFormat/>
    <w:uiPriority w:val="0"/>
    <w:pPr>
      <w:kinsoku w:val="0"/>
      <w:autoSpaceDE w:val="0"/>
      <w:autoSpaceDN w:val="0"/>
      <w:adjustRightInd w:val="0"/>
      <w:snapToGrid w:val="0"/>
      <w:spacing w:beforeLines="0" w:afterLines="0"/>
      <w:textAlignment w:val="baseline"/>
    </w:pPr>
    <w:rPr>
      <w:rFonts w:hint="default" w:ascii="Arial" w:hAnsi="Arial" w:eastAsia="宋体" w:cs="Arial"/>
      <w:snapToGrid w:val="0"/>
      <w:color w:val="000000"/>
      <w:sz w:val="21"/>
      <w:szCs w:val="21"/>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5595</Words>
  <Characters>6413</Characters>
  <Lines>3</Lines>
  <Paragraphs>1</Paragraphs>
  <TotalTime>2</TotalTime>
  <ScaleCrop>false</ScaleCrop>
  <LinksUpToDate>false</LinksUpToDate>
  <CharactersWithSpaces>6481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2022-04-27T05:28:00Z</dcterms:created>
  <dc:creator>GD</dc:creator>
  <cp:lastModifiedBy>MR HUANG</cp:lastModifiedBy>
  <cp:lastPrinted>2022-05-07T09:28:00Z</cp:lastPrinted>
  <dcterms:modified xsi:type="dcterms:W3CDTF">2023-05-05T01:55:23Z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4394CD53A99F40F9BAA5F84BDAE29D73</vt:lpwstr>
  </property>
</Properties>
</file>