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宋体" w:hAnsi="宋体"/>
          <w:sz w:val="84"/>
          <w:szCs w:val="84"/>
        </w:rPr>
      </w:pPr>
      <w:bookmarkStart w:id="0" w:name="_Toc167634190"/>
      <w:bookmarkStart w:id="1" w:name="_Toc167634890"/>
      <w:bookmarkStart w:id="2" w:name="_Toc229881820"/>
      <w:bookmarkStart w:id="3" w:name="_Toc167634119"/>
      <w:bookmarkStart w:id="4" w:name="_Toc229881873"/>
      <w:bookmarkStart w:id="5" w:name="_Toc168279399"/>
      <w:bookmarkStart w:id="6" w:name="_Toc167634861"/>
      <w:r>
        <w:rPr>
          <w:rFonts w:hint="eastAsia" w:ascii="宋体" w:hAnsi="宋体"/>
          <w:sz w:val="28"/>
          <w:szCs w:val="28"/>
        </w:rPr>
        <w:t xml:space="preserve">                                                 </w:t>
      </w:r>
      <w:r>
        <w:rPr>
          <w:rFonts w:ascii="宋体" w:hAnsi="宋体"/>
          <w:sz w:val="28"/>
          <w:szCs w:val="28"/>
        </w:rPr>
        <w:drawing>
          <wp:inline distT="0" distB="0" distL="0" distR="0">
            <wp:extent cx="1059815" cy="1036955"/>
            <wp:effectExtent l="19050" t="0" r="6985" b="0"/>
            <wp:docPr id="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9815" cy="1036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84"/>
          <w:szCs w:val="84"/>
        </w:rPr>
        <w:t xml:space="preserve">    </w:t>
      </w:r>
    </w:p>
    <w:p>
      <w:pPr>
        <w:ind w:left="17640" w:leftChars="2800" w:hanging="11760" w:hangingChars="1400"/>
        <w:rPr>
          <w:rFonts w:ascii="宋体" w:hAnsi="宋体"/>
          <w:sz w:val="84"/>
          <w:szCs w:val="84"/>
        </w:rPr>
      </w:pPr>
      <w:r>
        <w:rPr>
          <w:rFonts w:hint="eastAsia" w:ascii="宋体" w:hAnsi="宋体"/>
          <w:sz w:val="84"/>
          <w:szCs w:val="84"/>
        </w:rPr>
        <w:t xml:space="preserve"> 2022</w:t>
      </w:r>
    </w:p>
    <w:p>
      <w:pPr>
        <w:rPr>
          <w:rFonts w:ascii="宋体" w:hAnsi="宋体"/>
          <w:sz w:val="28"/>
          <w:szCs w:val="28"/>
        </w:rPr>
      </w:pPr>
      <w:r>
        <w:pict>
          <v:line id="_x0000_s1028" o:spid="_x0000_s1028" o:spt="20" style="position:absolute;left:0pt;margin-left:0pt;margin-top:3.9pt;height:0.05pt;width:423pt;z-index:25165926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">
            <v:path arrowok="t"/>
            <v:fill focussize="0,0"/>
            <v:stroke/>
            <v:imagedata o:title=""/>
            <o:lock v:ext="edit"/>
          </v:line>
        </w:pict>
      </w:r>
    </w:p>
    <w:p>
      <w:pPr>
        <w:ind w:left="6300" w:hanging="6300" w:hangingChars="2250"/>
        <w:rPr>
          <w:rFonts w:ascii="创艺简标宋" w:hAnsi="创艺简标宋" w:eastAsia="创艺简标宋" w:cs="创艺简标宋"/>
          <w:sz w:val="36"/>
          <w:szCs w:val="36"/>
        </w:rPr>
      </w:pPr>
      <w:r>
        <w:rPr>
          <w:rFonts w:hint="eastAsia" w:ascii="宋体" w:hAnsi="宋体"/>
          <w:sz w:val="28"/>
          <w:szCs w:val="28"/>
        </w:rPr>
        <w:t xml:space="preserve">                              </w:t>
      </w:r>
      <w:r>
        <w:rPr>
          <w:rFonts w:hint="eastAsia" w:ascii="创艺简标宋" w:hAnsi="创艺简标宋" w:eastAsia="创艺简标宋" w:cs="创艺简标宋"/>
          <w:sz w:val="28"/>
          <w:szCs w:val="28"/>
        </w:rPr>
        <w:t xml:space="preserve">   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大亚湾经济技术开发区</w:t>
      </w:r>
    </w:p>
    <w:p>
      <w:pPr>
        <w:rPr>
          <w:rFonts w:ascii="创艺简标宋" w:hAnsi="创艺简标宋" w:eastAsia="创艺简标宋" w:cs="创艺简标宋"/>
          <w:sz w:val="52"/>
          <w:szCs w:val="52"/>
        </w:rPr>
      </w:pPr>
      <w:r>
        <w:rPr>
          <w:rFonts w:hint="eastAsia" w:ascii="创艺简标宋" w:hAnsi="创艺简标宋" w:eastAsia="创艺简标宋" w:cs="创艺简标宋"/>
          <w:sz w:val="72"/>
          <w:szCs w:val="72"/>
        </w:rPr>
        <w:t xml:space="preserve">    </w:t>
      </w:r>
      <w:r>
        <w:rPr>
          <w:rFonts w:hint="eastAsia" w:ascii="创艺简标宋" w:hAnsi="创艺简标宋" w:eastAsia="创艺简标宋" w:cs="创艺简标宋"/>
          <w:sz w:val="52"/>
          <w:szCs w:val="52"/>
        </w:rPr>
        <w:t xml:space="preserve">          环境质量状况公报</w:t>
      </w:r>
    </w:p>
    <w:p>
      <w:pPr>
        <w:ind w:left="6300" w:hanging="6300" w:hangingChars="2250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28"/>
          <w:szCs w:val="28"/>
        </w:rPr>
        <w:t xml:space="preserve">                          </w:t>
      </w:r>
      <w:r>
        <w:rPr>
          <w:rFonts w:hint="eastAsia" w:ascii="宋体" w:hAnsi="宋体"/>
          <w:sz w:val="36"/>
          <w:szCs w:val="36"/>
        </w:rPr>
        <w:t xml:space="preserve">          </w:t>
      </w:r>
    </w:p>
    <w:p>
      <w:pPr>
        <w:ind w:left="8132" w:hanging="8100" w:hangingChars="2250"/>
        <w:rPr>
          <w:rFonts w:ascii="宋体" w:hAnsi="宋体"/>
          <w:b/>
          <w:sz w:val="36"/>
          <w:szCs w:val="36"/>
        </w:rPr>
      </w:pPr>
    </w:p>
    <w:p>
      <w:pPr>
        <w:ind w:left="8132" w:hanging="8100" w:hangingChars="2250"/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b/>
          <w:sz w:val="36"/>
          <w:szCs w:val="36"/>
        </w:rPr>
      </w:pPr>
    </w:p>
    <w:p>
      <w:pPr>
        <w:ind w:firstLine="1080" w:firstLineChars="300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惠州市生态环境局大亚湾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经济技术开发区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分局</w:t>
      </w:r>
    </w:p>
    <w:p>
      <w:pPr>
        <w:ind w:firstLine="3225" w:firstLineChars="896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二O二三年六月</w:t>
      </w:r>
    </w:p>
    <w:p>
      <w:pPr>
        <w:ind w:firstLine="2865" w:firstLineChars="796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spacing w:afterLines="300" w:line="360" w:lineRule="auto"/>
        <w:jc w:val="center"/>
        <w:outlineLvl w:val="0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bookmarkEnd w:id="0"/>
    <w:bookmarkEnd w:id="1"/>
    <w:bookmarkEnd w:id="2"/>
    <w:bookmarkEnd w:id="3"/>
    <w:bookmarkEnd w:id="4"/>
    <w:bookmarkEnd w:id="5"/>
    <w:bookmarkEnd w:id="6"/>
    <w:p>
      <w:pPr>
        <w:jc w:val="center"/>
        <w:outlineLvl w:val="1"/>
        <w:rPr>
          <w:rFonts w:ascii="仿宋_GB2312" w:hAnsi="仿宋_GB2312" w:eastAsia="仿宋_GB2312" w:cs="仿宋_GB2312"/>
          <w:b/>
          <w:bCs/>
          <w:sz w:val="28"/>
          <w:szCs w:val="28"/>
        </w:rPr>
      </w:pPr>
      <w:bookmarkStart w:id="7" w:name="_Toc168279401"/>
      <w:bookmarkStart w:id="8" w:name="_Toc229881875"/>
      <w:bookmarkStart w:id="9" w:name="_Toc167634192"/>
      <w:bookmarkStart w:id="10" w:name="_Toc167634121"/>
      <w:bookmarkStart w:id="11" w:name="_Toc229881822"/>
      <w:bookmarkStart w:id="12" w:name="_Toc167634892"/>
      <w:bookmarkStart w:id="13" w:name="_Toc167634863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综述</w:t>
      </w:r>
    </w:p>
    <w:p>
      <w:pPr>
        <w:spacing w:afterLines="300" w:line="360" w:lineRule="auto"/>
        <w:ind w:firstLine="615"/>
        <w:outlineLvl w:val="0"/>
        <w:rPr>
          <w:rFonts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2022年</w:t>
      </w:r>
      <w:r>
        <w:rPr>
          <w:rStyle w:val="10"/>
          <w:rFonts w:hint="eastAsia" w:ascii="仿宋_GB2312" w:hAnsi="微软雅黑" w:eastAsia="仿宋_GB2312" w:cs="微软雅黑"/>
          <w:b w:val="0"/>
          <w:sz w:val="28"/>
          <w:szCs w:val="28"/>
        </w:rPr>
        <w:t>空气质量优良率为</w:t>
      </w:r>
      <w:r>
        <w:rPr>
          <w:rFonts w:hint="eastAsia" w:ascii="仿宋_GB2312" w:hAnsi="仿宋_GB2312" w:eastAsia="仿宋_GB2312" w:cs="仿宋_GB2312"/>
          <w:sz w:val="28"/>
          <w:szCs w:val="28"/>
        </w:rPr>
        <w:t>95.6%，</w:t>
      </w:r>
      <w:r>
        <w:rPr>
          <w:rFonts w:hint="eastAsia" w:ascii="仿宋_GB2312" w:hAnsi="仿宋_GB2312" w:eastAsia="仿宋_GB2312" w:cs="仿宋_GB2312"/>
          <w:sz w:val="28"/>
        </w:rPr>
        <w:t>大亚湾区环境空气质量保持良好。风田水库、龙尾山水库、畲禾坑水库、鱿鱼湾水库、石头河水库满足Ⅱ类标准，水库水质保持稳定；16条河流全部达到水功能区要求，达标率为100%。区域噪声和道路交通噪声满足《声环境质量标准》（GB3096-2008）标准要求。</w:t>
      </w:r>
    </w:p>
    <w:p>
      <w:pPr>
        <w:jc w:val="center"/>
        <w:outlineLvl w:val="1"/>
        <w:rPr>
          <w:rStyle w:val="10"/>
          <w:rFonts w:ascii="仿宋_GB2312" w:hAnsi="仿宋_GB2312" w:eastAsia="仿宋_GB2312" w:cs="仿宋_GB2312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环境</w:t>
      </w:r>
      <w:bookmarkEnd w:id="7"/>
      <w:bookmarkEnd w:id="8"/>
      <w:bookmarkEnd w:id="9"/>
      <w:bookmarkEnd w:id="10"/>
      <w:bookmarkEnd w:id="11"/>
      <w:bookmarkEnd w:id="12"/>
      <w:bookmarkEnd w:id="13"/>
      <w:r>
        <w:rPr>
          <w:rFonts w:hint="eastAsia" w:ascii="仿宋_GB2312" w:hAnsi="仿宋_GB2312" w:eastAsia="仿宋_GB2312" w:cs="仿宋_GB2312"/>
          <w:b/>
          <w:sz w:val="28"/>
          <w:szCs w:val="28"/>
        </w:rPr>
        <w:t>空气质量</w:t>
      </w:r>
      <w:bookmarkStart w:id="14" w:name="_Toc229881823"/>
      <w:bookmarkStart w:id="15" w:name="_Toc168279402"/>
      <w:bookmarkStart w:id="16" w:name="_Toc167634864"/>
      <w:bookmarkStart w:id="17" w:name="_Toc167634123"/>
      <w:bookmarkStart w:id="18" w:name="_Toc229881876"/>
      <w:bookmarkStart w:id="19" w:name="_Toc167634893"/>
      <w:bookmarkStart w:id="20" w:name="_Toc167634193"/>
    </w:p>
    <w:p>
      <w:pPr>
        <w:pStyle w:val="7"/>
        <w:widowControl/>
        <w:spacing w:before="75" w:beforeAutospacing="0" w:after="75" w:afterAutospacing="0" w:line="315" w:lineRule="atLeast"/>
        <w:rPr>
          <w:rStyle w:val="10"/>
          <w:rFonts w:ascii="仿宋_GB2312" w:hAnsi="微软雅黑" w:eastAsia="仿宋_GB2312" w:cs="微软雅黑"/>
          <w:sz w:val="28"/>
          <w:szCs w:val="28"/>
        </w:rPr>
      </w:pPr>
      <w:r>
        <w:rPr>
          <w:rStyle w:val="10"/>
          <w:rFonts w:hint="eastAsia" w:ascii="仿宋_GB2312" w:hAnsi="微软雅黑" w:eastAsia="仿宋_GB2312" w:cs="微软雅黑"/>
          <w:b w:val="0"/>
          <w:sz w:val="21"/>
          <w:szCs w:val="21"/>
        </w:rPr>
        <w:t xml:space="preserve">      </w:t>
      </w:r>
      <w:r>
        <w:rPr>
          <w:rStyle w:val="10"/>
          <w:rFonts w:hint="eastAsia" w:ascii="仿宋_GB2312" w:hAnsi="微软雅黑" w:eastAsia="仿宋_GB2312" w:cs="微软雅黑"/>
          <w:b w:val="0"/>
          <w:sz w:val="28"/>
          <w:szCs w:val="28"/>
        </w:rPr>
        <w:t>2022年度，大亚湾区空气质量综合指数2.42，空气质量优良率为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95.6%，其中优比例60.9%，良比例39.1%，空气质量优天数212天</w:t>
      </w:r>
      <w:r>
        <w:rPr>
          <w:rFonts w:hint="eastAsia" w:ascii="仿宋_GB2312" w:hAnsi="仿宋_GB2312" w:eastAsia="仿宋_GB2312" w:cs="仿宋_GB2312"/>
          <w:kern w:val="2"/>
          <w:sz w:val="28"/>
          <w:szCs w:val="20"/>
        </w:rPr>
        <w:t xml:space="preserve">，良天数136天。其中，管委会国家空气质量监测站数据统计结果空气质量优良率94.8%，空气质量优天数199，良天数129天。霞涌国家空气质量监测站数据统计结果空气质量优良率95.4%，空气质量优天数199，良天数130天。 </w:t>
      </w:r>
    </w:p>
    <w:p>
      <w:pPr>
        <w:pStyle w:val="7"/>
        <w:widowControl/>
        <w:spacing w:before="75" w:beforeAutospacing="0" w:after="75" w:afterAutospacing="0" w:line="315" w:lineRule="atLeast"/>
        <w:rPr>
          <w:rFonts w:ascii="仿宋_GB2312" w:hAnsi="仿宋_GB2312" w:eastAsia="仿宋_GB2312" w:cs="仿宋_GB2312"/>
          <w:kern w:val="2"/>
          <w:sz w:val="28"/>
          <w:szCs w:val="20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0"/>
        </w:rPr>
        <w:t xml:space="preserve">    2022年，大亚湾区空气质量优良率同比2021年上升0.5%，综合指数下降8.0%。SO</w:t>
      </w:r>
      <w:r>
        <w:rPr>
          <w:rFonts w:hint="eastAsia" w:ascii="仿宋_GB2312" w:hAnsi="仿宋_GB2312" w:eastAsia="仿宋_GB2312" w:cs="仿宋_GB2312"/>
          <w:kern w:val="2"/>
          <w:sz w:val="28"/>
          <w:szCs w:val="20"/>
          <w:vertAlign w:val="subscript"/>
        </w:rPr>
        <w:t>2</w:t>
      </w:r>
      <w:r>
        <w:rPr>
          <w:rFonts w:hint="eastAsia" w:ascii="仿宋_GB2312" w:hAnsi="仿宋_GB2312" w:eastAsia="仿宋_GB2312" w:cs="仿宋_GB2312"/>
          <w:kern w:val="2"/>
          <w:sz w:val="28"/>
          <w:szCs w:val="20"/>
        </w:rPr>
        <w:t>、NO</w:t>
      </w:r>
      <w:r>
        <w:rPr>
          <w:rFonts w:hint="eastAsia" w:ascii="仿宋_GB2312" w:hAnsi="仿宋_GB2312" w:eastAsia="仿宋_GB2312" w:cs="仿宋_GB2312"/>
          <w:kern w:val="2"/>
          <w:sz w:val="28"/>
          <w:szCs w:val="20"/>
          <w:vertAlign w:val="subscript"/>
        </w:rPr>
        <w:t>2</w:t>
      </w:r>
      <w:r>
        <w:rPr>
          <w:rFonts w:hint="eastAsia" w:ascii="仿宋_GB2312" w:hAnsi="仿宋_GB2312" w:eastAsia="仿宋_GB2312" w:cs="仿宋_GB2312"/>
          <w:kern w:val="2"/>
          <w:sz w:val="28"/>
          <w:szCs w:val="20"/>
        </w:rPr>
        <w:t>、O</w:t>
      </w:r>
      <w:r>
        <w:rPr>
          <w:rFonts w:hint="eastAsia" w:ascii="仿宋_GB2312" w:hAnsi="仿宋_GB2312" w:eastAsia="仿宋_GB2312" w:cs="仿宋_GB2312"/>
          <w:kern w:val="2"/>
          <w:sz w:val="28"/>
          <w:szCs w:val="20"/>
          <w:vertAlign w:val="subscript"/>
        </w:rPr>
        <w:t>3</w:t>
      </w:r>
      <w:r>
        <w:rPr>
          <w:rFonts w:hint="eastAsia" w:ascii="仿宋_GB2312" w:hAnsi="仿宋_GB2312" w:eastAsia="仿宋_GB2312" w:cs="仿宋_GB2312"/>
          <w:kern w:val="2"/>
          <w:sz w:val="28"/>
          <w:szCs w:val="20"/>
        </w:rPr>
        <w:t>、PM</w:t>
      </w:r>
      <w:r>
        <w:rPr>
          <w:rFonts w:hint="eastAsia" w:ascii="仿宋_GB2312" w:hAnsi="仿宋_GB2312" w:eastAsia="仿宋_GB2312" w:cs="仿宋_GB2312"/>
          <w:kern w:val="2"/>
          <w:sz w:val="28"/>
          <w:szCs w:val="20"/>
          <w:vertAlign w:val="subscript"/>
        </w:rPr>
        <w:t>10</w:t>
      </w:r>
      <w:r>
        <w:rPr>
          <w:rFonts w:hint="eastAsia" w:ascii="仿宋_GB2312" w:hAnsi="仿宋_GB2312" w:eastAsia="仿宋_GB2312" w:cs="仿宋_GB2312"/>
          <w:kern w:val="2"/>
          <w:sz w:val="28"/>
          <w:szCs w:val="20"/>
        </w:rPr>
        <w:t>、PM</w:t>
      </w:r>
      <w:r>
        <w:rPr>
          <w:rFonts w:hint="eastAsia" w:ascii="仿宋_GB2312" w:hAnsi="仿宋_GB2312" w:eastAsia="仿宋_GB2312" w:cs="仿宋_GB2312"/>
          <w:kern w:val="2"/>
          <w:sz w:val="28"/>
          <w:szCs w:val="20"/>
          <w:vertAlign w:val="subscript"/>
        </w:rPr>
        <w:t>2.5</w:t>
      </w:r>
      <w:r>
        <w:rPr>
          <w:rFonts w:hint="eastAsia" w:ascii="仿宋_GB2312" w:hAnsi="仿宋_GB2312" w:eastAsia="仿宋_GB2312" w:cs="仿宋_GB2312"/>
          <w:kern w:val="2"/>
          <w:sz w:val="28"/>
          <w:szCs w:val="20"/>
        </w:rPr>
        <w:t>浓度分别下降42.9%、11.8%、1.4%、19.4%、5.9%，CO浓度上升14.3%。大亚湾区空气质量整体保持良好，在惠州市排名第3。</w:t>
      </w:r>
    </w:p>
    <w:p>
      <w:pPr>
        <w:pStyle w:val="7"/>
        <w:widowControl/>
        <w:spacing w:before="75" w:beforeAutospacing="0" w:after="75" w:afterAutospacing="0" w:line="315" w:lineRule="atLeast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7"/>
        <w:widowControl/>
        <w:spacing w:before="75" w:beforeAutospacing="0" w:after="75" w:afterAutospacing="0" w:line="315" w:lineRule="atLeast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7"/>
        <w:widowControl/>
        <w:spacing w:before="75" w:beforeAutospacing="0" w:after="75" w:afterAutospacing="0" w:line="315" w:lineRule="atLeast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7"/>
        <w:widowControl/>
        <w:spacing w:before="75" w:beforeAutospacing="0" w:after="75" w:afterAutospacing="0" w:line="315" w:lineRule="atLeast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7"/>
        <w:widowControl/>
        <w:spacing w:before="75" w:beforeAutospacing="0" w:after="75" w:afterAutospacing="0" w:line="315" w:lineRule="atLeast"/>
        <w:rPr>
          <w:rFonts w:ascii="宋体" w:hAnsi="宋体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监测结果及变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化趋势见表1、图1。</w:t>
      </w:r>
    </w:p>
    <w:p>
      <w:pPr>
        <w:spacing w:line="240" w:lineRule="atLeast"/>
        <w:jc w:val="center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 xml:space="preserve">   表1  大亚湾区2022年大气污染物监测结果（mg/m</w:t>
      </w:r>
      <w:r>
        <w:rPr>
          <w:rFonts w:hint="eastAsia" w:ascii="仿宋_GB2312" w:hAnsi="仿宋_GB2312" w:eastAsia="仿宋_GB2312" w:cs="仿宋_GB2312"/>
          <w:b/>
          <w:sz w:val="24"/>
          <w:szCs w:val="24"/>
          <w:vertAlign w:val="superscript"/>
        </w:rPr>
        <w:t>3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）</w:t>
      </w:r>
    </w:p>
    <w:tbl>
      <w:tblPr>
        <w:tblStyle w:val="8"/>
        <w:tblpPr w:leftFromText="180" w:rightFromText="180" w:vertAnchor="text" w:horzAnchor="margin" w:tblpXSpec="center" w:tblpY="99"/>
        <w:tblOverlap w:val="never"/>
        <w:tblW w:w="76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992"/>
        <w:gridCol w:w="1143"/>
        <w:gridCol w:w="840"/>
        <w:gridCol w:w="887"/>
        <w:gridCol w:w="894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951" w:type="dxa"/>
            <w:tcBorders>
              <w:tl2br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  <w:bookmarkStart w:id="21" w:name="OLE_LINK2"/>
            <w:bookmarkStart w:id="22" w:name="OLE_LINK1"/>
            <w:bookmarkStart w:id="23" w:name="OLE_LINK3"/>
            <w:r>
              <w:pict>
                <v:shape id="文本框 12" o:spid="_x0000_s1027" o:spt="202" type="#_x0000_t202" style="position:absolute;left:0pt;margin-left:0.6pt;margin-top:10.5pt;height:22.8pt;width:43.45pt;z-index:251660288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">
                  <v:path arrowok="t"/>
                  <v:fill on="f" focussize="0,0"/>
                  <v:stroke on="f" joinstyle="miter"/>
                  <v:imagedata o:title=""/>
                  <o:lock v:ext="edit"/>
                  <v:textbox style="mso-fit-shape-to-text:t;">
                    <w:txbxContent>
                      <w:p>
                        <w:pPr>
                          <w:rPr>
                            <w:rFonts w:ascii="仿宋_GB2312" w:hAnsi="仿宋_GB2312" w:eastAsia="仿宋_GB2312" w:cs="仿宋_GB2312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</w:rPr>
                          <w:t>年度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="仿宋_GB2312" w:hAnsi="仿宋_GB2312" w:eastAsia="仿宋_GB2312" w:cs="仿宋_GB2312"/>
              </w:rPr>
              <w:t xml:space="preserve">        项目</w:t>
            </w:r>
          </w:p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SO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4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NO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CO</w:t>
            </w:r>
          </w:p>
        </w:tc>
        <w:tc>
          <w:tcPr>
            <w:tcW w:w="887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O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894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PM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PM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subscript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951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0.004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0.015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0.8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0.144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0.029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951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二级标准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0.06</w:t>
            </w:r>
          </w:p>
        </w:tc>
        <w:tc>
          <w:tcPr>
            <w:tcW w:w="114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0.04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887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0.160</w:t>
            </w:r>
          </w:p>
        </w:tc>
        <w:tc>
          <w:tcPr>
            <w:tcW w:w="894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0.070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0.035</w:t>
            </w:r>
          </w:p>
        </w:tc>
      </w:tr>
      <w:bookmarkEnd w:id="21"/>
      <w:bookmarkEnd w:id="22"/>
      <w:bookmarkEnd w:id="23"/>
    </w:tbl>
    <w:p>
      <w:pPr>
        <w:rPr>
          <w:rFonts w:ascii="仿宋_GB2312" w:hAnsi="仿宋_GB2312" w:eastAsia="仿宋_GB2312" w:cs="仿宋_GB2312"/>
          <w:b/>
          <w:sz w:val="24"/>
          <w:szCs w:val="24"/>
        </w:rPr>
      </w:pPr>
      <w:bookmarkStart w:id="24" w:name="_Toc167634122"/>
      <w:r>
        <w:pict>
          <v:shape id="文本框 11" o:spid="_x0000_s1026" o:spt="202" type="#_x0000_t202" style="position:absolute;left:0pt;margin-left:90.85pt;margin-top:3.8pt;height:22.8pt;width:23.45pt;mso-wrap-style:none;z-index:251660288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">
            <v:path arrowok="t"/>
            <v:fill on="f" focussize="0,0"/>
            <v:stroke on="f" joinstyle="miter"/>
            <v:imagedata o:title=""/>
            <o:lock v:ext="edit"/>
            <v:textbox style="mso-fit-shape-to-text:t;">
              <w:txbxContent>
                <w:p/>
              </w:txbxContent>
            </v:textbox>
          </v:shape>
        </w:pict>
      </w:r>
    </w:p>
    <w:p>
      <w:pPr>
        <w:rPr>
          <w:rFonts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备注：</w:t>
      </w:r>
      <w:r>
        <w:rPr>
          <w:rFonts w:hint="eastAsia" w:ascii="仿宋_GB2312" w:hAnsi="仿宋_GB2312" w:eastAsia="仿宋_GB2312" w:cs="仿宋_GB2312"/>
          <w:sz w:val="24"/>
          <w:szCs w:val="24"/>
        </w:rPr>
        <w:t>SO</w:t>
      </w:r>
      <w:r>
        <w:rPr>
          <w:rFonts w:hint="eastAsia" w:ascii="仿宋_GB2312" w:hAnsi="仿宋_GB2312" w:eastAsia="仿宋_GB2312" w:cs="仿宋_GB2312"/>
          <w:bCs/>
          <w:sz w:val="28"/>
          <w:szCs w:val="28"/>
          <w:vertAlign w:val="subscript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</w:rPr>
        <w:t>NO</w:t>
      </w:r>
      <w:r>
        <w:rPr>
          <w:rFonts w:hint="eastAsia" w:ascii="仿宋_GB2312" w:hAnsi="仿宋_GB2312" w:eastAsia="仿宋_GB2312" w:cs="仿宋_GB2312"/>
          <w:sz w:val="24"/>
          <w:szCs w:val="24"/>
          <w:vertAlign w:val="subscript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</w:t>
      </w:r>
      <w:r>
        <w:rPr>
          <w:rFonts w:ascii="仿宋_GB2312" w:hAnsi="仿宋_GB2312" w:eastAsia="仿宋_GB2312" w:cs="仿宋_GB2312"/>
          <w:sz w:val="24"/>
          <w:szCs w:val="24"/>
        </w:rPr>
        <w:t>O</w:t>
      </w:r>
      <w:r>
        <w:rPr>
          <w:rFonts w:ascii="仿宋_GB2312" w:hAnsi="仿宋_GB2312" w:eastAsia="仿宋_GB2312" w:cs="仿宋_GB2312"/>
          <w:sz w:val="24"/>
          <w:szCs w:val="24"/>
          <w:vertAlign w:val="subscript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>、PM</w:t>
      </w:r>
      <w:r>
        <w:rPr>
          <w:rFonts w:hint="eastAsia" w:ascii="仿宋_GB2312" w:hAnsi="仿宋_GB2312" w:eastAsia="仿宋_GB2312" w:cs="仿宋_GB2312"/>
          <w:sz w:val="24"/>
          <w:szCs w:val="24"/>
          <w:vertAlign w:val="subscript"/>
        </w:rPr>
        <w:t>10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</w:rPr>
        <w:t>PM</w:t>
      </w:r>
      <w:r>
        <w:rPr>
          <w:rFonts w:hint="eastAsia" w:ascii="仿宋_GB2312" w:hAnsi="仿宋_GB2312" w:eastAsia="仿宋_GB2312" w:cs="仿宋_GB2312"/>
          <w:sz w:val="24"/>
          <w:szCs w:val="24"/>
          <w:vertAlign w:val="subscript"/>
        </w:rPr>
        <w:t>2.5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为《环境空气质量标准》（GB3095-2012）年均值二级标准；</w:t>
      </w:r>
      <w:r>
        <w:rPr>
          <w:rFonts w:hint="eastAsia" w:ascii="仿宋_GB2312" w:hAnsi="仿宋_GB2312" w:eastAsia="仿宋_GB2312" w:cs="仿宋_GB2312"/>
          <w:sz w:val="24"/>
          <w:szCs w:val="24"/>
        </w:rPr>
        <w:t>CO为24小时均值标准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。</w:t>
      </w:r>
    </w:p>
    <w:p>
      <w:pPr>
        <w:jc w:val="center"/>
        <w:rPr>
          <w:rFonts w:ascii="仿宋_GB2312" w:hAnsi="仿宋_GB2312" w:eastAsia="仿宋_GB2312" w:cs="仿宋_GB2312"/>
          <w:bCs/>
          <w:sz w:val="24"/>
          <w:szCs w:val="24"/>
        </w:rPr>
      </w:pPr>
      <w:r>
        <w:rPr>
          <w:rFonts w:ascii="仿宋_GB2312" w:hAnsi="仿宋_GB2312" w:eastAsia="仿宋_GB2312" w:cs="仿宋_GB2312"/>
          <w:bCs/>
          <w:sz w:val="24"/>
          <w:szCs w:val="24"/>
        </w:rPr>
        <w:drawing>
          <wp:inline distT="0" distB="0" distL="0" distR="0">
            <wp:extent cx="5486400" cy="2572385"/>
            <wp:effectExtent l="4445" t="4445" r="14605" b="13970"/>
            <wp:docPr id="3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>
      <w:pPr>
        <w:ind w:firstLine="2240" w:firstLineChars="800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图1  空气质量因子浓度变化趋势图</w:t>
      </w:r>
      <w:bookmarkEnd w:id="24"/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水环境</w:t>
      </w:r>
      <w:bookmarkEnd w:id="14"/>
      <w:bookmarkEnd w:id="15"/>
      <w:bookmarkEnd w:id="16"/>
      <w:bookmarkEnd w:id="17"/>
      <w:bookmarkEnd w:id="18"/>
      <w:bookmarkEnd w:id="19"/>
      <w:bookmarkEnd w:id="20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质量</w:t>
      </w:r>
    </w:p>
    <w:p>
      <w:pPr>
        <w:ind w:firstLine="560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饮用水源</w:t>
      </w:r>
    </w:p>
    <w:p>
      <w:pPr>
        <w:pStyle w:val="7"/>
        <w:widowControl/>
        <w:spacing w:before="75" w:beforeAutospacing="0" w:after="75" w:afterAutospacing="0" w:line="315" w:lineRule="atLeast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 xml:space="preserve">  2022年，风田水库集中式饮用水水源地水质Ⅱ类，达标率为100%。与2021年相比，水质保持稳定。</w:t>
      </w:r>
      <w:r>
        <w:rPr>
          <w:rFonts w:hint="eastAsia" w:ascii="仿宋_GB2312" w:hAnsi="仿宋_GB2312" w:eastAsia="仿宋_GB2312" w:cs="仿宋_GB2312"/>
          <w:sz w:val="28"/>
        </w:rPr>
        <w:t>龙尾山水库、畲禾坑水库、石头河水库、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鱿鱼湾水库</w:t>
      </w:r>
      <w:r>
        <w:rPr>
          <w:rFonts w:hint="eastAsia" w:ascii="仿宋_GB2312" w:hAnsi="仿宋_GB2312" w:eastAsia="仿宋_GB2312" w:cs="仿宋_GB2312"/>
          <w:sz w:val="28"/>
        </w:rPr>
        <w:t>等备用水源地水质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Ⅱ类，达标率为100%。与2021年相比，水质保持稳定。</w:t>
      </w:r>
      <w:r>
        <w:rPr>
          <w:rFonts w:hint="eastAsia" w:ascii="仿宋_GB2312" w:hAnsi="仿宋_GB2312" w:eastAsia="仿宋_GB2312" w:cs="仿宋_GB2312"/>
          <w:kern w:val="2"/>
          <w:sz w:val="21"/>
          <w:szCs w:val="21"/>
        </w:rPr>
        <w:t>备注：鱿鱼湾水库已于2022年9月调整为非饮用水水源保护区</w:t>
      </w:r>
      <w:r>
        <w:rPr>
          <w:rFonts w:hint="eastAsia" w:ascii="仿宋_GB2312" w:hAnsi="仿宋_GB2312" w:eastAsia="仿宋_GB2312" w:cs="仿宋_GB2312"/>
          <w:kern w:val="2"/>
          <w:sz w:val="21"/>
          <w:szCs w:val="21"/>
          <w:lang w:eastAsia="zh-CN"/>
        </w:rPr>
        <w:t>。</w:t>
      </w:r>
      <w:bookmarkStart w:id="32" w:name="_GoBack"/>
      <w:bookmarkEnd w:id="32"/>
    </w:p>
    <w:p>
      <w:pPr>
        <w:ind w:firstLine="560" w:firstLineChars="200"/>
        <w:rPr>
          <w:rFonts w:ascii="仿宋_GB2312" w:hAnsi="仿宋_GB2312" w:eastAsia="仿宋_GB2312" w:cs="仿宋_GB2312"/>
          <w:b/>
          <w:sz w:val="28"/>
          <w:szCs w:val="28"/>
        </w:rPr>
      </w:pPr>
      <w:bookmarkStart w:id="25" w:name="_Toc229881824"/>
      <w:bookmarkStart w:id="26" w:name="_Toc168279403"/>
      <w:bookmarkStart w:id="27" w:name="_Toc229881877"/>
      <w:r>
        <w:rPr>
          <w:rFonts w:hint="eastAsia" w:ascii="仿宋_GB2312" w:hAnsi="仿宋_GB2312" w:eastAsia="仿宋_GB2312" w:cs="仿宋_GB2312"/>
          <w:b/>
          <w:sz w:val="28"/>
          <w:szCs w:val="28"/>
        </w:rPr>
        <w:t>地表河流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bookmarkStart w:id="28" w:name="_Toc167634865"/>
      <w:bookmarkStart w:id="29" w:name="_Toc167634194"/>
      <w:bookmarkStart w:id="30" w:name="_Toc167634124"/>
      <w:bookmarkStart w:id="31" w:name="_Toc167634894"/>
      <w:r>
        <w:rPr>
          <w:rFonts w:hint="eastAsia" w:ascii="仿宋_GB2312" w:hAnsi="仿宋_GB2312" w:eastAsia="仿宋_GB2312" w:cs="仿宋_GB2312"/>
          <w:sz w:val="28"/>
          <w:szCs w:val="28"/>
        </w:rPr>
        <w:t>2022年，大亚湾区内坪山河、淡澳河、响水河、柏岗河、岩前河、南边灶河、石头河、苏埔河、妈庙河、澳背河、晓联河、大胜河、青龙河、下沙河、养公坑河、南坑河等16条主要河流进行了常规监测，监测频次为：12次/年。</w:t>
      </w:r>
    </w:p>
    <w:p>
      <w:pPr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16条河流中，南边灶河、柏岗河水质为Ⅱ类；岩前河、苏埔河、石头河、响水河、澳背河、晓联河、淡澳河、妈庙河、坪山河龙海一路断面、大胜河、下沙河、养公坑河、南坑河等水质为Ⅲ类；青龙河水质为IV类,水环境质量均满足相应的水环境功能区要求。</w:t>
      </w: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声环境</w:t>
      </w:r>
      <w:bookmarkEnd w:id="28"/>
      <w:bookmarkEnd w:id="29"/>
      <w:bookmarkEnd w:id="30"/>
      <w:bookmarkEnd w:id="31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质量</w:t>
      </w:r>
    </w:p>
    <w:p>
      <w:pPr>
        <w:spacing w:line="360" w:lineRule="auto"/>
        <w:ind w:right="-333" w:rightChars="-159" w:firstLine="560" w:firstLineChars="200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区域噪声</w:t>
      </w: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根据大亚湾区2022年度城市定量考核和环境目标责任制考核要求，区域环境噪声布设72个监测点位，监测结果见表2。</w:t>
      </w:r>
    </w:p>
    <w:p>
      <w:pPr>
        <w:spacing w:line="360" w:lineRule="auto"/>
        <w:ind w:right="-333" w:rightChars="-159"/>
        <w:jc w:val="center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表2  区域环境噪声监测结果</w:t>
      </w:r>
    </w:p>
    <w:tbl>
      <w:tblPr>
        <w:tblStyle w:val="8"/>
        <w:tblW w:w="8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1720"/>
        <w:gridCol w:w="1721"/>
        <w:gridCol w:w="1721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533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项目</w:t>
            </w:r>
          </w:p>
        </w:tc>
        <w:tc>
          <w:tcPr>
            <w:tcW w:w="1720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网格规格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米×米</w:t>
            </w:r>
          </w:p>
        </w:tc>
        <w:tc>
          <w:tcPr>
            <w:tcW w:w="172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监测点数</w:t>
            </w:r>
          </w:p>
        </w:tc>
        <w:tc>
          <w:tcPr>
            <w:tcW w:w="1721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等效声级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变化范围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dB（A）</w:t>
            </w:r>
          </w:p>
        </w:tc>
        <w:tc>
          <w:tcPr>
            <w:tcW w:w="1721" w:type="dxa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等效声级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均值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dB（A）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33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区域噪声</w:t>
            </w:r>
          </w:p>
        </w:tc>
        <w:tc>
          <w:tcPr>
            <w:tcW w:w="1720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800×800</w:t>
            </w:r>
          </w:p>
        </w:tc>
        <w:tc>
          <w:tcPr>
            <w:tcW w:w="172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72</w:t>
            </w:r>
          </w:p>
        </w:tc>
        <w:tc>
          <w:tcPr>
            <w:tcW w:w="1721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52.7-58.6</w:t>
            </w:r>
          </w:p>
        </w:tc>
        <w:tc>
          <w:tcPr>
            <w:tcW w:w="172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56.6</w:t>
            </w:r>
          </w:p>
        </w:tc>
      </w:tr>
    </w:tbl>
    <w:p>
      <w:pPr>
        <w:ind w:firstLine="420" w:firstLineChars="15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交通噪声</w:t>
      </w:r>
    </w:p>
    <w:p>
      <w:pPr>
        <w:ind w:firstLine="420" w:firstLineChars="150"/>
        <w:rPr>
          <w:rFonts w:ascii="仿宋_GB2312" w:hAnsi="Arial Unicode MS" w:eastAsia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根据大亚湾区2022年度城市定量考核和环境目标责任制考核要求，交通噪声布设16个监测点位，监测结果见表3。</w:t>
      </w:r>
    </w:p>
    <w:p>
      <w:pPr>
        <w:jc w:val="center"/>
        <w:rPr>
          <w:rFonts w:ascii="仿宋_GB2312" w:hAnsi="Arial Unicode MS" w:eastAsia="仿宋_GB2312"/>
          <w:b/>
          <w:bCs/>
          <w:sz w:val="28"/>
          <w:szCs w:val="28"/>
        </w:rPr>
      </w:pPr>
    </w:p>
    <w:p>
      <w:pPr>
        <w:jc w:val="center"/>
        <w:rPr>
          <w:rFonts w:ascii="仿宋_GB2312" w:hAnsi="Arial Unicode MS" w:eastAsia="仿宋_GB2312"/>
          <w:b/>
          <w:bCs/>
          <w:sz w:val="28"/>
          <w:szCs w:val="28"/>
        </w:rPr>
      </w:pPr>
      <w:r>
        <w:rPr>
          <w:rFonts w:hint="eastAsia" w:ascii="仿宋_GB2312" w:hAnsi="Arial Unicode MS" w:eastAsia="仿宋_GB2312"/>
          <w:b/>
          <w:bCs/>
          <w:sz w:val="28"/>
          <w:szCs w:val="28"/>
        </w:rPr>
        <w:t>表3  交通噪声监测结果</w:t>
      </w:r>
    </w:p>
    <w:tbl>
      <w:tblPr>
        <w:tblStyle w:val="8"/>
        <w:tblW w:w="8363" w:type="dxa"/>
        <w:tblInd w:w="2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951"/>
        <w:gridCol w:w="915"/>
        <w:gridCol w:w="1245"/>
        <w:gridCol w:w="1290"/>
        <w:gridCol w:w="1365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081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</w:t>
            </w:r>
          </w:p>
        </w:tc>
        <w:tc>
          <w:tcPr>
            <w:tcW w:w="951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监测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路段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（条）</w:t>
            </w:r>
          </w:p>
        </w:tc>
        <w:tc>
          <w:tcPr>
            <w:tcW w:w="915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ind w:right="279" w:rightChars="133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平均</w:t>
            </w:r>
          </w:p>
          <w:p>
            <w:pPr>
              <w:widowControl/>
              <w:ind w:right="279" w:rightChars="133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路宽</w:t>
            </w:r>
          </w:p>
          <w:p>
            <w:pPr>
              <w:widowControl/>
              <w:ind w:right="279" w:rightChars="133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（米）</w:t>
            </w:r>
          </w:p>
        </w:tc>
        <w:tc>
          <w:tcPr>
            <w:tcW w:w="1245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平均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路长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（米）</w:t>
            </w:r>
          </w:p>
        </w:tc>
        <w:tc>
          <w:tcPr>
            <w:tcW w:w="1290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平均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车流量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（辆/小时）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等效声级变化范围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dB（A）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等效声级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加权均值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dB（A）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081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交通噪声</w:t>
            </w:r>
          </w:p>
        </w:tc>
        <w:tc>
          <w:tcPr>
            <w:tcW w:w="951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16</w:t>
            </w:r>
          </w:p>
        </w:tc>
        <w:tc>
          <w:tcPr>
            <w:tcW w:w="915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30.6</w:t>
            </w:r>
          </w:p>
        </w:tc>
        <w:tc>
          <w:tcPr>
            <w:tcW w:w="1245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1481</w:t>
            </w:r>
          </w:p>
        </w:tc>
        <w:tc>
          <w:tcPr>
            <w:tcW w:w="1290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742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65.5-69.1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67.3</w:t>
            </w:r>
          </w:p>
        </w:tc>
      </w:tr>
    </w:tbl>
    <w:p>
      <w:pPr>
        <w:ind w:firstLine="280" w:firstLineChars="10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ind w:firstLine="280" w:firstLineChars="10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ind w:firstLine="280" w:firstLineChars="10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ind w:firstLine="280" w:firstLineChars="10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ind w:firstLine="280" w:firstLineChars="10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ind w:firstLine="280" w:firstLineChars="10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ind w:firstLine="280" w:firstLineChars="10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ind w:firstLine="280" w:firstLineChars="1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区域噪声、交通噪声变化趋势</w:t>
      </w:r>
    </w:p>
    <w:p>
      <w:pPr>
        <w:ind w:firstLine="280" w:firstLineChars="1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drawing>
          <wp:inline distT="0" distB="0" distL="0" distR="0">
            <wp:extent cx="4596765" cy="2767965"/>
            <wp:effectExtent l="1905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6765" cy="2767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ind w:firstLine="280" w:firstLineChars="10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图2  区域噪声、交通噪声变化趋势图</w:t>
      </w:r>
    </w:p>
    <w:p>
      <w:pPr>
        <w:ind w:firstLine="420" w:firstLineChars="1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2022年度，区域环境噪声等效声级平均值为56.7dB（A），满足《声环境质量标准》（GB3096-2008）2类60dB（A）(昼间)标准限值，与2021年相比，区域声环境质量保持稳定；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交通噪声等效声级平均值为67.3dB（A），</w:t>
      </w:r>
      <w:r>
        <w:rPr>
          <w:rFonts w:hint="eastAsia" w:ascii="仿宋_GB2312" w:hAnsi="仿宋_GB2312" w:eastAsia="仿宋_GB2312" w:cs="仿宋_GB2312"/>
          <w:sz w:val="28"/>
          <w:szCs w:val="28"/>
        </w:rPr>
        <w:t>满足《声环境质量标准》（GB3096-2008）4类70dB（A）(昼间)标准限值，与2021年相比，交通噪声无明显变化。</w:t>
      </w:r>
    </w:p>
    <w:p>
      <w:pPr>
        <w:spacing w:afterLines="300" w:line="360" w:lineRule="auto"/>
        <w:ind w:firstLine="3000" w:firstLineChars="1000"/>
        <w:outlineLvl w:val="0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bookmarkEnd w:id="25"/>
    <w:bookmarkEnd w:id="26"/>
    <w:bookmarkEnd w:id="27"/>
    <w:p>
      <w:pPr>
        <w:spacing w:beforeLines="100"/>
        <w:rPr>
          <w:rFonts w:ascii="仿宋_GB2312" w:hAnsi="仿宋_GB2312" w:eastAsia="仿宋_GB2312" w:cs="仿宋_GB2312"/>
          <w:color w:val="FF0000"/>
        </w:rPr>
      </w:pPr>
    </w:p>
    <w:sectPr>
      <w:footerReference r:id="rId3" w:type="default"/>
      <w:footerReference r:id="rId4" w:type="even"/>
      <w:pgSz w:w="11906" w:h="16838"/>
      <w:pgMar w:top="1418" w:right="1474" w:bottom="1418" w:left="1418" w:header="851" w:footer="992" w:gutter="284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">
    <w:panose1 w:val="020F0502020204030204"/>
    <w:charset w:val="01"/>
    <w:family w:val="auto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6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4</w: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5"/>
  <w:drawingGridHorizontalSpacing w:val="105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useFELayout/>
    <w:compatSetting w:name="compatibilityMode" w:uri="http://schemas.microsoft.com/office/word" w:val="12"/>
  </w:compat>
  <w:rsids>
    <w:rsidRoot w:val="00172A27"/>
    <w:rsid w:val="00000CE8"/>
    <w:rsid w:val="00014887"/>
    <w:rsid w:val="00014CA4"/>
    <w:rsid w:val="000162B3"/>
    <w:rsid w:val="000176E1"/>
    <w:rsid w:val="00021009"/>
    <w:rsid w:val="00024F5E"/>
    <w:rsid w:val="00025734"/>
    <w:rsid w:val="00043326"/>
    <w:rsid w:val="00044F40"/>
    <w:rsid w:val="00062A15"/>
    <w:rsid w:val="0007567B"/>
    <w:rsid w:val="000775C4"/>
    <w:rsid w:val="000811D0"/>
    <w:rsid w:val="00082420"/>
    <w:rsid w:val="000A3586"/>
    <w:rsid w:val="000B372C"/>
    <w:rsid w:val="000B3D05"/>
    <w:rsid w:val="000B6067"/>
    <w:rsid w:val="000F11ED"/>
    <w:rsid w:val="0010795A"/>
    <w:rsid w:val="00107FA6"/>
    <w:rsid w:val="00117809"/>
    <w:rsid w:val="00131C8F"/>
    <w:rsid w:val="00140CC9"/>
    <w:rsid w:val="001431C5"/>
    <w:rsid w:val="00144FF2"/>
    <w:rsid w:val="001512F0"/>
    <w:rsid w:val="0015799C"/>
    <w:rsid w:val="0016511B"/>
    <w:rsid w:val="001673FB"/>
    <w:rsid w:val="00172A27"/>
    <w:rsid w:val="00180C09"/>
    <w:rsid w:val="001828AE"/>
    <w:rsid w:val="00192586"/>
    <w:rsid w:val="001B1261"/>
    <w:rsid w:val="001B7B54"/>
    <w:rsid w:val="001C10F4"/>
    <w:rsid w:val="001C30D3"/>
    <w:rsid w:val="001D117C"/>
    <w:rsid w:val="001D25FA"/>
    <w:rsid w:val="001F26BA"/>
    <w:rsid w:val="001F3DF7"/>
    <w:rsid w:val="002050EA"/>
    <w:rsid w:val="00213B02"/>
    <w:rsid w:val="002238F0"/>
    <w:rsid w:val="00245903"/>
    <w:rsid w:val="0025126A"/>
    <w:rsid w:val="00251D5B"/>
    <w:rsid w:val="00253201"/>
    <w:rsid w:val="00272055"/>
    <w:rsid w:val="00297B7D"/>
    <w:rsid w:val="002A0CC2"/>
    <w:rsid w:val="002A1406"/>
    <w:rsid w:val="002C154A"/>
    <w:rsid w:val="002D2A24"/>
    <w:rsid w:val="002E11DD"/>
    <w:rsid w:val="002E1E20"/>
    <w:rsid w:val="002F6730"/>
    <w:rsid w:val="0030730D"/>
    <w:rsid w:val="0031417B"/>
    <w:rsid w:val="00316CE7"/>
    <w:rsid w:val="003204C3"/>
    <w:rsid w:val="003279F6"/>
    <w:rsid w:val="00337F8C"/>
    <w:rsid w:val="00341AEB"/>
    <w:rsid w:val="00341F2F"/>
    <w:rsid w:val="0034258F"/>
    <w:rsid w:val="0036334B"/>
    <w:rsid w:val="0037204F"/>
    <w:rsid w:val="00373C28"/>
    <w:rsid w:val="003756AE"/>
    <w:rsid w:val="003758BE"/>
    <w:rsid w:val="0038043A"/>
    <w:rsid w:val="00380C90"/>
    <w:rsid w:val="00384C76"/>
    <w:rsid w:val="00385A31"/>
    <w:rsid w:val="0039325D"/>
    <w:rsid w:val="00396D28"/>
    <w:rsid w:val="003A3264"/>
    <w:rsid w:val="003A66DA"/>
    <w:rsid w:val="003B5476"/>
    <w:rsid w:val="003C34AF"/>
    <w:rsid w:val="003D3378"/>
    <w:rsid w:val="003D5412"/>
    <w:rsid w:val="003E1890"/>
    <w:rsid w:val="003E31E6"/>
    <w:rsid w:val="003F11DF"/>
    <w:rsid w:val="003F20CC"/>
    <w:rsid w:val="003F31D7"/>
    <w:rsid w:val="003F69F6"/>
    <w:rsid w:val="004072B0"/>
    <w:rsid w:val="00412A20"/>
    <w:rsid w:val="00414D78"/>
    <w:rsid w:val="00414EB1"/>
    <w:rsid w:val="00434A41"/>
    <w:rsid w:val="00435B2C"/>
    <w:rsid w:val="0044330B"/>
    <w:rsid w:val="0045522B"/>
    <w:rsid w:val="004605E9"/>
    <w:rsid w:val="00463E07"/>
    <w:rsid w:val="00481E13"/>
    <w:rsid w:val="00487CA5"/>
    <w:rsid w:val="00491EC5"/>
    <w:rsid w:val="00492EF0"/>
    <w:rsid w:val="004A583B"/>
    <w:rsid w:val="004A6BC0"/>
    <w:rsid w:val="004A6D43"/>
    <w:rsid w:val="004B162C"/>
    <w:rsid w:val="004C7151"/>
    <w:rsid w:val="004C7A69"/>
    <w:rsid w:val="004D4E53"/>
    <w:rsid w:val="004F00A4"/>
    <w:rsid w:val="004F45BC"/>
    <w:rsid w:val="004F4A1E"/>
    <w:rsid w:val="004F5AC0"/>
    <w:rsid w:val="004F61DE"/>
    <w:rsid w:val="00505233"/>
    <w:rsid w:val="00512833"/>
    <w:rsid w:val="005141EF"/>
    <w:rsid w:val="00520BDE"/>
    <w:rsid w:val="00530D19"/>
    <w:rsid w:val="005454C3"/>
    <w:rsid w:val="00547D76"/>
    <w:rsid w:val="005538B8"/>
    <w:rsid w:val="005548B8"/>
    <w:rsid w:val="00562190"/>
    <w:rsid w:val="00564CC6"/>
    <w:rsid w:val="005767B9"/>
    <w:rsid w:val="00583831"/>
    <w:rsid w:val="005852AE"/>
    <w:rsid w:val="0058533D"/>
    <w:rsid w:val="00591CF2"/>
    <w:rsid w:val="005A2EF0"/>
    <w:rsid w:val="005A3A75"/>
    <w:rsid w:val="005A4DF1"/>
    <w:rsid w:val="005D34EA"/>
    <w:rsid w:val="005D71EB"/>
    <w:rsid w:val="005E131C"/>
    <w:rsid w:val="005E1DD4"/>
    <w:rsid w:val="00601924"/>
    <w:rsid w:val="00603CED"/>
    <w:rsid w:val="00605E66"/>
    <w:rsid w:val="00611149"/>
    <w:rsid w:val="00611AF8"/>
    <w:rsid w:val="00621CC1"/>
    <w:rsid w:val="00622DD9"/>
    <w:rsid w:val="00634220"/>
    <w:rsid w:val="006605A9"/>
    <w:rsid w:val="00671FEF"/>
    <w:rsid w:val="00673553"/>
    <w:rsid w:val="00674DC9"/>
    <w:rsid w:val="00676C5F"/>
    <w:rsid w:val="006860D6"/>
    <w:rsid w:val="006A36F5"/>
    <w:rsid w:val="006C1930"/>
    <w:rsid w:val="006C2DE8"/>
    <w:rsid w:val="006E0D65"/>
    <w:rsid w:val="006E2FD9"/>
    <w:rsid w:val="006E4602"/>
    <w:rsid w:val="006E6F03"/>
    <w:rsid w:val="006F2D8C"/>
    <w:rsid w:val="0073077B"/>
    <w:rsid w:val="007360BC"/>
    <w:rsid w:val="00743496"/>
    <w:rsid w:val="007452CD"/>
    <w:rsid w:val="00762484"/>
    <w:rsid w:val="00762A06"/>
    <w:rsid w:val="00763037"/>
    <w:rsid w:val="007702D2"/>
    <w:rsid w:val="00775886"/>
    <w:rsid w:val="00794BDA"/>
    <w:rsid w:val="007975E7"/>
    <w:rsid w:val="007A14B1"/>
    <w:rsid w:val="007A1685"/>
    <w:rsid w:val="007A4663"/>
    <w:rsid w:val="007C0891"/>
    <w:rsid w:val="007C3D85"/>
    <w:rsid w:val="007D0155"/>
    <w:rsid w:val="007D1242"/>
    <w:rsid w:val="007D2023"/>
    <w:rsid w:val="007D3323"/>
    <w:rsid w:val="007D57E4"/>
    <w:rsid w:val="007D6F34"/>
    <w:rsid w:val="007E3B7A"/>
    <w:rsid w:val="007E7FF1"/>
    <w:rsid w:val="007F2337"/>
    <w:rsid w:val="00807510"/>
    <w:rsid w:val="00812910"/>
    <w:rsid w:val="008169B6"/>
    <w:rsid w:val="00823961"/>
    <w:rsid w:val="00823CA4"/>
    <w:rsid w:val="0083248F"/>
    <w:rsid w:val="00832DA3"/>
    <w:rsid w:val="00840E46"/>
    <w:rsid w:val="008416B3"/>
    <w:rsid w:val="008533D0"/>
    <w:rsid w:val="0085555E"/>
    <w:rsid w:val="00872BC4"/>
    <w:rsid w:val="0087358F"/>
    <w:rsid w:val="0088044C"/>
    <w:rsid w:val="00887F92"/>
    <w:rsid w:val="0089489E"/>
    <w:rsid w:val="008A0883"/>
    <w:rsid w:val="008A1D9A"/>
    <w:rsid w:val="008A3CF5"/>
    <w:rsid w:val="008B2239"/>
    <w:rsid w:val="008B4EB9"/>
    <w:rsid w:val="008B7738"/>
    <w:rsid w:val="008C0317"/>
    <w:rsid w:val="008C1CD4"/>
    <w:rsid w:val="008C4311"/>
    <w:rsid w:val="008D05F7"/>
    <w:rsid w:val="008D1D38"/>
    <w:rsid w:val="008D37FA"/>
    <w:rsid w:val="008D4626"/>
    <w:rsid w:val="008D5FEC"/>
    <w:rsid w:val="008E1AF4"/>
    <w:rsid w:val="008F5435"/>
    <w:rsid w:val="008F5534"/>
    <w:rsid w:val="00900445"/>
    <w:rsid w:val="00901C7A"/>
    <w:rsid w:val="009051EC"/>
    <w:rsid w:val="0091069E"/>
    <w:rsid w:val="00914CF7"/>
    <w:rsid w:val="009160A2"/>
    <w:rsid w:val="009170F8"/>
    <w:rsid w:val="00920907"/>
    <w:rsid w:val="00921070"/>
    <w:rsid w:val="0092323A"/>
    <w:rsid w:val="00923E6B"/>
    <w:rsid w:val="00936C0D"/>
    <w:rsid w:val="00956015"/>
    <w:rsid w:val="009629E8"/>
    <w:rsid w:val="00962BA2"/>
    <w:rsid w:val="00964B2B"/>
    <w:rsid w:val="00966118"/>
    <w:rsid w:val="00984CFE"/>
    <w:rsid w:val="0099194B"/>
    <w:rsid w:val="00993087"/>
    <w:rsid w:val="00995D56"/>
    <w:rsid w:val="009A0307"/>
    <w:rsid w:val="009A0A9B"/>
    <w:rsid w:val="009C2F7D"/>
    <w:rsid w:val="009E0A16"/>
    <w:rsid w:val="009E3910"/>
    <w:rsid w:val="00A16754"/>
    <w:rsid w:val="00A24EE3"/>
    <w:rsid w:val="00A31796"/>
    <w:rsid w:val="00A44DD3"/>
    <w:rsid w:val="00A479C2"/>
    <w:rsid w:val="00A47BF6"/>
    <w:rsid w:val="00A529CC"/>
    <w:rsid w:val="00A61692"/>
    <w:rsid w:val="00A715E5"/>
    <w:rsid w:val="00A736D1"/>
    <w:rsid w:val="00A76DED"/>
    <w:rsid w:val="00A84681"/>
    <w:rsid w:val="00A902D6"/>
    <w:rsid w:val="00AB7C25"/>
    <w:rsid w:val="00AC4EF5"/>
    <w:rsid w:val="00AD3A23"/>
    <w:rsid w:val="00AD4DCA"/>
    <w:rsid w:val="00AD69C0"/>
    <w:rsid w:val="00AD7F61"/>
    <w:rsid w:val="00AE013B"/>
    <w:rsid w:val="00AE3BB4"/>
    <w:rsid w:val="00AE76E0"/>
    <w:rsid w:val="00AF3DE5"/>
    <w:rsid w:val="00AF6849"/>
    <w:rsid w:val="00B00E60"/>
    <w:rsid w:val="00B04EA2"/>
    <w:rsid w:val="00B278EC"/>
    <w:rsid w:val="00B35856"/>
    <w:rsid w:val="00B35DE7"/>
    <w:rsid w:val="00B47994"/>
    <w:rsid w:val="00B47C59"/>
    <w:rsid w:val="00B5069A"/>
    <w:rsid w:val="00B51357"/>
    <w:rsid w:val="00B518E3"/>
    <w:rsid w:val="00B52F23"/>
    <w:rsid w:val="00B65646"/>
    <w:rsid w:val="00B75F1D"/>
    <w:rsid w:val="00B92354"/>
    <w:rsid w:val="00B9366C"/>
    <w:rsid w:val="00B94376"/>
    <w:rsid w:val="00B9473A"/>
    <w:rsid w:val="00BA0402"/>
    <w:rsid w:val="00BD24F7"/>
    <w:rsid w:val="00BF283D"/>
    <w:rsid w:val="00BF7370"/>
    <w:rsid w:val="00C13293"/>
    <w:rsid w:val="00C16EDD"/>
    <w:rsid w:val="00C17CB4"/>
    <w:rsid w:val="00C20D94"/>
    <w:rsid w:val="00C240B9"/>
    <w:rsid w:val="00C24EB7"/>
    <w:rsid w:val="00C31292"/>
    <w:rsid w:val="00C36530"/>
    <w:rsid w:val="00C3685C"/>
    <w:rsid w:val="00C40E36"/>
    <w:rsid w:val="00C44B2E"/>
    <w:rsid w:val="00C47E25"/>
    <w:rsid w:val="00C6124C"/>
    <w:rsid w:val="00C67E7F"/>
    <w:rsid w:val="00C716E6"/>
    <w:rsid w:val="00C810FA"/>
    <w:rsid w:val="00C86CA4"/>
    <w:rsid w:val="00C92F11"/>
    <w:rsid w:val="00C930CB"/>
    <w:rsid w:val="00CA468E"/>
    <w:rsid w:val="00CB0218"/>
    <w:rsid w:val="00CB3845"/>
    <w:rsid w:val="00CB6323"/>
    <w:rsid w:val="00CB6D85"/>
    <w:rsid w:val="00CE0995"/>
    <w:rsid w:val="00CE70C8"/>
    <w:rsid w:val="00D05621"/>
    <w:rsid w:val="00D13E05"/>
    <w:rsid w:val="00D27624"/>
    <w:rsid w:val="00D40A9E"/>
    <w:rsid w:val="00D505E7"/>
    <w:rsid w:val="00D539B9"/>
    <w:rsid w:val="00D57B7A"/>
    <w:rsid w:val="00D63C25"/>
    <w:rsid w:val="00D64FA7"/>
    <w:rsid w:val="00D75CEF"/>
    <w:rsid w:val="00D81E82"/>
    <w:rsid w:val="00D82E4A"/>
    <w:rsid w:val="00D939A6"/>
    <w:rsid w:val="00DA1BA4"/>
    <w:rsid w:val="00DC0AA0"/>
    <w:rsid w:val="00DC47C2"/>
    <w:rsid w:val="00DD29B2"/>
    <w:rsid w:val="00DE359D"/>
    <w:rsid w:val="00DF2398"/>
    <w:rsid w:val="00E01738"/>
    <w:rsid w:val="00E16075"/>
    <w:rsid w:val="00E1630B"/>
    <w:rsid w:val="00E34E4A"/>
    <w:rsid w:val="00E44443"/>
    <w:rsid w:val="00E8756F"/>
    <w:rsid w:val="00E91E0B"/>
    <w:rsid w:val="00EA2C2D"/>
    <w:rsid w:val="00EA5F3B"/>
    <w:rsid w:val="00EB5EEC"/>
    <w:rsid w:val="00EE63A3"/>
    <w:rsid w:val="00EF2B68"/>
    <w:rsid w:val="00EF5956"/>
    <w:rsid w:val="00F03468"/>
    <w:rsid w:val="00F063AA"/>
    <w:rsid w:val="00F16078"/>
    <w:rsid w:val="00F37687"/>
    <w:rsid w:val="00F543E9"/>
    <w:rsid w:val="00F5788D"/>
    <w:rsid w:val="00F619D1"/>
    <w:rsid w:val="00F63A0C"/>
    <w:rsid w:val="00F668D0"/>
    <w:rsid w:val="00F673D4"/>
    <w:rsid w:val="00F71E58"/>
    <w:rsid w:val="00FA0006"/>
    <w:rsid w:val="00FA35D5"/>
    <w:rsid w:val="00FA5BCD"/>
    <w:rsid w:val="00FC3E8B"/>
    <w:rsid w:val="00FD158A"/>
    <w:rsid w:val="00FE37D5"/>
    <w:rsid w:val="00FE78D5"/>
    <w:rsid w:val="00FF73DE"/>
    <w:rsid w:val="01FF7D2C"/>
    <w:rsid w:val="12EB2366"/>
    <w:rsid w:val="16A17E34"/>
    <w:rsid w:val="18193CEC"/>
    <w:rsid w:val="195F5544"/>
    <w:rsid w:val="1D7A0C42"/>
    <w:rsid w:val="208633F4"/>
    <w:rsid w:val="37427435"/>
    <w:rsid w:val="4A881958"/>
    <w:rsid w:val="4B263044"/>
    <w:rsid w:val="4C522CD6"/>
    <w:rsid w:val="50BC5AB1"/>
    <w:rsid w:val="534C122B"/>
    <w:rsid w:val="54D43122"/>
    <w:rsid w:val="561529A9"/>
    <w:rsid w:val="56E80E7C"/>
    <w:rsid w:val="60704DDA"/>
    <w:rsid w:val="62412B2E"/>
    <w:rsid w:val="638B2DC6"/>
    <w:rsid w:val="66253803"/>
    <w:rsid w:val="668A4280"/>
    <w:rsid w:val="6BCD2BF5"/>
    <w:rsid w:val="6C091DB7"/>
    <w:rsid w:val="70862773"/>
    <w:rsid w:val="73D07BD0"/>
    <w:rsid w:val="768246DF"/>
    <w:rsid w:val="7771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qFormat/>
    <w:uiPriority w:val="0"/>
    <w:pPr>
      <w:tabs>
        <w:tab w:val="right" w:leader="hyphen" w:pos="8777"/>
      </w:tabs>
    </w:pPr>
    <w:rPr>
      <w:rFonts w:ascii="宋体" w:hAnsi="宋体"/>
      <w:b/>
      <w:sz w:val="24"/>
      <w:szCs w:val="24"/>
    </w:rPr>
  </w:style>
  <w:style w:type="paragraph" w:styleId="6">
    <w:name w:val="toc 2"/>
    <w:basedOn w:val="1"/>
    <w:next w:val="1"/>
    <w:qFormat/>
    <w:uiPriority w:val="0"/>
    <w:pPr>
      <w:ind w:left="420" w:leftChars="200"/>
    </w:p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character" w:styleId="10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11">
    <w:name w:val="FollowedHyperlink"/>
    <w:qFormat/>
    <w:uiPriority w:val="0"/>
    <w:rPr>
      <w:rFonts w:ascii="Times New Roman" w:hAnsi="Times New Roman" w:eastAsia="宋体" w:cs="Times New Roman"/>
      <w:color w:val="800080"/>
      <w:u w:val="single"/>
    </w:rPr>
  </w:style>
  <w:style w:type="character" w:styleId="12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3">
    <w:name w:val="页码1"/>
    <w:qFormat/>
    <w:uiPriority w:val="0"/>
    <w:rPr>
      <w:rFonts w:ascii="Times New Roman" w:hAnsi="Times New Roman" w:eastAsia="宋体" w:cs="Times New Roman"/>
    </w:rPr>
  </w:style>
  <w:style w:type="paragraph" w:customStyle="1" w:styleId="14">
    <w:name w:val="日期1"/>
    <w:basedOn w:val="1"/>
    <w:next w:val="1"/>
    <w:qFormat/>
    <w:uiPriority w:val="0"/>
    <w:pPr>
      <w:ind w:left="100" w:leftChars="2500"/>
    </w:pPr>
  </w:style>
  <w:style w:type="paragraph" w:customStyle="1" w:styleId="15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6">
    <w:name w:val="正文文本缩进1"/>
    <w:basedOn w:val="1"/>
    <w:qFormat/>
    <w:uiPriority w:val="0"/>
    <w:pPr>
      <w:ind w:left="315" w:firstLine="420"/>
    </w:pPr>
    <w:rPr>
      <w:rFonts w:ascii="宋体"/>
      <w:sz w:val="28"/>
    </w:rPr>
  </w:style>
  <w:style w:type="paragraph" w:styleId="17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8">
    <w:name w:val="文档结构图1"/>
    <w:basedOn w:val="1"/>
    <w:qFormat/>
    <w:uiPriority w:val="0"/>
    <w:pPr>
      <w:shd w:val="clear" w:color="auto" w:fill="000080"/>
    </w:pPr>
  </w:style>
  <w:style w:type="paragraph" w:customStyle="1" w:styleId="19">
    <w:name w:val="p0"/>
    <w:basedOn w:val="1"/>
    <w:qFormat/>
    <w:uiPriority w:val="0"/>
    <w:pPr>
      <w:widowControl/>
    </w:pPr>
    <w:rPr>
      <w:rFonts w:ascii="Calibri" w:hAnsi="Calibri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chart" Target="charts/chart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istrator\Desktop\&#22270;&#33539;&#34920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938539904734137"/>
          <c:y val="0.0606598133566638"/>
          <c:w val="0.828676882811745"/>
          <c:h val="0.78211226617820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Sheet1!$AD$168</c:f>
              <c:strCache>
                <c:ptCount val="1"/>
                <c:pt idx="0">
                  <c:v>2022年</c:v>
                </c:pt>
              </c:strCache>
            </c:strRef>
          </c:tx>
          <c:invertIfNegative val="0"/>
          <c:dLbls>
            <c:delete val="1"/>
          </c:dLbls>
          <c:cat>
            <c:strRef>
              <c:f>Sheet1!$AE$167:$AJ$167</c:f>
              <c:strCache>
                <c:ptCount val="6"/>
                <c:pt idx="0">
                  <c:v>SO2</c:v>
                </c:pt>
                <c:pt idx="1">
                  <c:v>NO2</c:v>
                </c:pt>
                <c:pt idx="2">
                  <c:v>CO</c:v>
                </c:pt>
                <c:pt idx="3">
                  <c:v>O3</c:v>
                </c:pt>
                <c:pt idx="4">
                  <c:v>PM10</c:v>
                </c:pt>
                <c:pt idx="5">
                  <c:v>PM2.5</c:v>
                </c:pt>
              </c:strCache>
            </c:strRef>
          </c:cat>
          <c:val>
            <c:numRef>
              <c:f>Sheet1!$AE$168:$AJ$168</c:f>
              <c:numCache>
                <c:formatCode>General</c:formatCode>
                <c:ptCount val="6"/>
                <c:pt idx="0">
                  <c:v>0.004</c:v>
                </c:pt>
                <c:pt idx="1">
                  <c:v>0.015</c:v>
                </c:pt>
                <c:pt idx="2">
                  <c:v>0.0727272727272727</c:v>
                </c:pt>
                <c:pt idx="3">
                  <c:v>0.0654545454545455</c:v>
                </c:pt>
                <c:pt idx="4">
                  <c:v>0.029</c:v>
                </c:pt>
                <c:pt idx="5">
                  <c:v>0.016</c:v>
                </c:pt>
              </c:numCache>
            </c:numRef>
          </c:val>
        </c:ser>
        <c:ser>
          <c:idx val="1"/>
          <c:order val="1"/>
          <c:tx>
            <c:strRef>
              <c:f>Sheet1!$AD$169</c:f>
              <c:strCache>
                <c:ptCount val="1"/>
                <c:pt idx="0">
                  <c:v>2021年 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.000687024603510966"/>
                  <c:y val="-0.000399647929205224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altLang="zh-CN"/>
                      <a:t>42.9%</a:t>
                    </a:r>
                    <a:endParaRPr lang="en-US" altLang="en-US"/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Sheet1!$AE$167:$AJ$167</c:f>
              <c:strCache>
                <c:ptCount val="6"/>
                <c:pt idx="0">
                  <c:v>SO2</c:v>
                </c:pt>
                <c:pt idx="1">
                  <c:v>NO2</c:v>
                </c:pt>
                <c:pt idx="2">
                  <c:v>CO</c:v>
                </c:pt>
                <c:pt idx="3">
                  <c:v>O3</c:v>
                </c:pt>
                <c:pt idx="4">
                  <c:v>PM10</c:v>
                </c:pt>
                <c:pt idx="5">
                  <c:v>PM2.5</c:v>
                </c:pt>
              </c:strCache>
            </c:strRef>
          </c:cat>
          <c:val>
            <c:numRef>
              <c:f>Sheet1!$AE$169:$AJ$169</c:f>
              <c:numCache>
                <c:formatCode>General</c:formatCode>
                <c:ptCount val="6"/>
                <c:pt idx="0">
                  <c:v>0.007</c:v>
                </c:pt>
                <c:pt idx="1">
                  <c:v>0.017</c:v>
                </c:pt>
                <c:pt idx="2">
                  <c:v>0.0636363636363636</c:v>
                </c:pt>
                <c:pt idx="3">
                  <c:v>0.0663636363636365</c:v>
                </c:pt>
                <c:pt idx="4">
                  <c:v>0.036</c:v>
                </c:pt>
                <c:pt idx="5">
                  <c:v>0.017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1171968"/>
        <c:axId val="81173888"/>
      </c:barChart>
      <c:catAx>
        <c:axId val="811719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81173888"/>
        <c:crosses val="autoZero"/>
        <c:auto val="1"/>
        <c:lblAlgn val="ctr"/>
        <c:lblOffset val="100"/>
        <c:noMultiLvlLbl val="0"/>
      </c:catAx>
      <c:valAx>
        <c:axId val="81173888"/>
        <c:scaling>
          <c:orientation val="minMax"/>
          <c:max val="0.17"/>
          <c:min val="0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 b="0"/>
                  <a:t>浓度值</a:t>
                </a:r>
                <a:r>
                  <a:rPr lang="en-US" altLang="zh-CN" b="0"/>
                  <a:t>:</a:t>
                </a:r>
                <a:r>
                  <a:rPr lang="zh-CN" altLang="en-US" b="0"/>
                  <a:t>（单位</a:t>
                </a:r>
                <a:r>
                  <a:rPr lang="en-US" altLang="zh-CN" b="0"/>
                  <a:t>mg/m3</a:t>
                </a:r>
                <a:r>
                  <a:rPr lang="zh-CN" altLang="en-US" b="0"/>
                  <a:t>）</a:t>
                </a:r>
                <a:endParaRPr lang="zh-CN" altLang="en-US" b="0"/>
              </a:p>
            </c:rich>
          </c:tx>
          <c:layout>
            <c:manualLayout>
              <c:xMode val="edge"/>
              <c:yMode val="edge"/>
              <c:x val="0.0611097975359313"/>
              <c:y val="0.262717764509044"/>
            </c:manualLayout>
          </c:layout>
          <c:overlay val="0"/>
        </c:title>
        <c:numFmt formatCode="General" sourceLinked="1"/>
        <c:majorTickMark val="none"/>
        <c:minorTickMark val="none"/>
        <c:tickLblPos val="none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81171968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74960035094764"/>
          <c:y val="0.113431818001602"/>
          <c:w val="0.12160870825991"/>
          <c:h val="0.19263347368588"/>
        </c:manualLayout>
      </c:layout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0.34113</cdr:x>
      <cdr:y>0.20595</cdr:y>
    </cdr:from>
    <cdr:to>
      <cdr:x>0.43649</cdr:x>
      <cdr:y>0.30219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293967" y="649309"/>
          <a:ext cx="641263" cy="303423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/>
        <a:p>
          <a:endParaRPr lang="zh-CN" altLang="en-US"/>
        </a:p>
      </cdr:txBody>
    </cdr:sp>
  </cdr:relSizeAnchor>
  <cdr:relSizeAnchor xmlns:cdr="http://schemas.openxmlformats.org/drawingml/2006/chartDrawing">
    <cdr:from>
      <cdr:x>0.28578</cdr:x>
      <cdr:y>0.66378</cdr:y>
    </cdr:from>
    <cdr:to>
      <cdr:x>0.375</cdr:x>
      <cdr:y>0.75405</cdr:y>
    </cdr:to>
    <cdr:sp>
      <cdr:nvSpPr>
        <cdr:cNvPr id="3" name="矩形 2"/>
        <cdr:cNvSpPr/>
      </cdr:nvSpPr>
      <cdr:spPr xmlns:a="http://schemas.openxmlformats.org/drawingml/2006/main">
        <a:xfrm xmlns:a="http://schemas.openxmlformats.org/drawingml/2006/main">
          <a:off x="1567878" y="1707500"/>
          <a:ext cx="489497" cy="232209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>
          <a:lvl1pPr marL="0" indent="0">
            <a:defRPr sz="1100">
              <a:latin typeface="Calibri" panose="020F0502020204030204"/>
            </a:defRPr>
          </a:lvl1pPr>
          <a:lvl2pPr marL="457200" indent="0">
            <a:defRPr sz="1100">
              <a:latin typeface="Calibri" panose="020F0502020204030204"/>
            </a:defRPr>
          </a:lvl2pPr>
          <a:lvl3pPr marL="914400" indent="0">
            <a:defRPr sz="1100">
              <a:latin typeface="Calibri" panose="020F0502020204030204"/>
            </a:defRPr>
          </a:lvl3pPr>
          <a:lvl4pPr marL="1371600" indent="0">
            <a:defRPr sz="1100">
              <a:latin typeface="Calibri" panose="020F0502020204030204"/>
            </a:defRPr>
          </a:lvl4pPr>
          <a:lvl5pPr marL="1828800" indent="0">
            <a:defRPr sz="1100">
              <a:latin typeface="Calibri" panose="020F0502020204030204"/>
            </a:defRPr>
          </a:lvl5pPr>
          <a:lvl6pPr marL="2286000" indent="0">
            <a:defRPr sz="1100">
              <a:latin typeface="Calibri" panose="020F0502020204030204"/>
            </a:defRPr>
          </a:lvl6pPr>
          <a:lvl7pPr marL="2743200" indent="0">
            <a:defRPr sz="1100">
              <a:latin typeface="Calibri" panose="020F0502020204030204"/>
            </a:defRPr>
          </a:lvl7pPr>
          <a:lvl8pPr marL="3200400" indent="0">
            <a:defRPr sz="1100">
              <a:latin typeface="Calibri" panose="020F0502020204030204"/>
            </a:defRPr>
          </a:lvl8pPr>
          <a:lvl9pPr marL="3657600" indent="0">
            <a:defRPr sz="1100">
              <a:latin typeface="Calibri" panose="020F0502020204030204"/>
            </a:defRPr>
          </a:lvl9pPr>
        </a:lstStyle>
        <a:p>
          <a:r>
            <a:rPr lang="en-US" altLang="zh-CN" sz="900"/>
            <a:t>11.8%</a:t>
          </a:r>
          <a:endParaRPr lang="zh-CN" altLang="en-US" sz="900"/>
        </a:p>
      </cdr:txBody>
    </cdr:sp>
  </cdr:relSizeAnchor>
  <cdr:relSizeAnchor xmlns:cdr="http://schemas.openxmlformats.org/drawingml/2006/chartDrawing">
    <cdr:from>
      <cdr:x>0.55997</cdr:x>
      <cdr:y>0.45509</cdr:y>
    </cdr:from>
    <cdr:to>
      <cdr:x>0.66367</cdr:x>
      <cdr:y>0.54537</cdr:y>
    </cdr:to>
    <cdr:sp>
      <cdr:nvSpPr>
        <cdr:cNvPr id="4" name="矩形 3"/>
        <cdr:cNvSpPr/>
      </cdr:nvSpPr>
      <cdr:spPr xmlns:a="http://schemas.openxmlformats.org/drawingml/2006/main">
        <a:xfrm xmlns:a="http://schemas.openxmlformats.org/drawingml/2006/main">
          <a:off x="3072231" y="1170655"/>
          <a:ext cx="568940" cy="232235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>
          <a:lvl1pPr marL="0" indent="0">
            <a:defRPr sz="1100">
              <a:latin typeface="Calibri" panose="020F0502020204030204"/>
            </a:defRPr>
          </a:lvl1pPr>
          <a:lvl2pPr marL="457200" indent="0">
            <a:defRPr sz="1100">
              <a:latin typeface="Calibri" panose="020F0502020204030204"/>
            </a:defRPr>
          </a:lvl2pPr>
          <a:lvl3pPr marL="914400" indent="0">
            <a:defRPr sz="1100">
              <a:latin typeface="Calibri" panose="020F0502020204030204"/>
            </a:defRPr>
          </a:lvl3pPr>
          <a:lvl4pPr marL="1371600" indent="0">
            <a:defRPr sz="1100">
              <a:latin typeface="Calibri" panose="020F0502020204030204"/>
            </a:defRPr>
          </a:lvl4pPr>
          <a:lvl5pPr marL="1828800" indent="0">
            <a:defRPr sz="1100">
              <a:latin typeface="Calibri" panose="020F0502020204030204"/>
            </a:defRPr>
          </a:lvl5pPr>
          <a:lvl6pPr marL="2286000" indent="0">
            <a:defRPr sz="1100">
              <a:latin typeface="Calibri" panose="020F0502020204030204"/>
            </a:defRPr>
          </a:lvl6pPr>
          <a:lvl7pPr marL="2743200" indent="0">
            <a:defRPr sz="1100">
              <a:latin typeface="Calibri" panose="020F0502020204030204"/>
            </a:defRPr>
          </a:lvl7pPr>
          <a:lvl8pPr marL="3200400" indent="0">
            <a:defRPr sz="1100">
              <a:latin typeface="Calibri" panose="020F0502020204030204"/>
            </a:defRPr>
          </a:lvl8pPr>
          <a:lvl9pPr marL="3657600" indent="0">
            <a:defRPr sz="1100">
              <a:latin typeface="Calibri" panose="020F0502020204030204"/>
            </a:defRPr>
          </a:lvl9pPr>
        </a:lstStyle>
        <a:p>
          <a:r>
            <a:rPr lang="en-US" altLang="zh-CN" sz="900"/>
            <a:t>1.4%</a:t>
          </a:r>
          <a:endParaRPr lang="zh-CN" altLang="en-US" sz="900"/>
        </a:p>
      </cdr:txBody>
    </cdr:sp>
  </cdr:relSizeAnchor>
  <cdr:relSizeAnchor xmlns:cdr="http://schemas.openxmlformats.org/drawingml/2006/chartDrawing">
    <cdr:from>
      <cdr:x>0.62194</cdr:x>
      <cdr:y>0.39884</cdr:y>
    </cdr:from>
    <cdr:to>
      <cdr:x>0.72565</cdr:x>
      <cdr:y>0.48912</cdr:y>
    </cdr:to>
    <cdr:sp>
      <cdr:nvSpPr>
        <cdr:cNvPr id="5" name="矩形 4"/>
        <cdr:cNvSpPr/>
      </cdr:nvSpPr>
      <cdr:spPr xmlns:a="http://schemas.openxmlformats.org/drawingml/2006/main">
        <a:xfrm xmlns:a="http://schemas.openxmlformats.org/drawingml/2006/main">
          <a:off x="3797616" y="1228417"/>
          <a:ext cx="633263" cy="278057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/>
        <a:p>
          <a:endParaRPr lang="zh-CN" altLang="en-US"/>
        </a:p>
      </cdr:txBody>
    </cdr:sp>
  </cdr:relSizeAnchor>
  <cdr:relSizeAnchor xmlns:cdr="http://schemas.openxmlformats.org/drawingml/2006/chartDrawing">
    <cdr:from>
      <cdr:x>0.82501</cdr:x>
      <cdr:y>0.67745</cdr:y>
    </cdr:from>
    <cdr:to>
      <cdr:x>0.909</cdr:x>
      <cdr:y>0.74775</cdr:y>
    </cdr:to>
    <cdr:sp>
      <cdr:nvSpPr>
        <cdr:cNvPr id="6" name="矩形 5"/>
        <cdr:cNvSpPr/>
      </cdr:nvSpPr>
      <cdr:spPr xmlns:a="http://schemas.openxmlformats.org/drawingml/2006/main">
        <a:xfrm xmlns:a="http://schemas.openxmlformats.org/drawingml/2006/main">
          <a:off x="4526350" y="1742650"/>
          <a:ext cx="460803" cy="180839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>
          <a:lvl1pPr marL="0" indent="0">
            <a:defRPr sz="1100">
              <a:latin typeface="Calibri" panose="020F0502020204030204"/>
            </a:defRPr>
          </a:lvl1pPr>
          <a:lvl2pPr marL="457200" indent="0">
            <a:defRPr sz="1100">
              <a:latin typeface="Calibri" panose="020F0502020204030204"/>
            </a:defRPr>
          </a:lvl2pPr>
          <a:lvl3pPr marL="914400" indent="0">
            <a:defRPr sz="1100">
              <a:latin typeface="Calibri" panose="020F0502020204030204"/>
            </a:defRPr>
          </a:lvl3pPr>
          <a:lvl4pPr marL="1371600" indent="0">
            <a:defRPr sz="1100">
              <a:latin typeface="Calibri" panose="020F0502020204030204"/>
            </a:defRPr>
          </a:lvl4pPr>
          <a:lvl5pPr marL="1828800" indent="0">
            <a:defRPr sz="1100">
              <a:latin typeface="Calibri" panose="020F0502020204030204"/>
            </a:defRPr>
          </a:lvl5pPr>
          <a:lvl6pPr marL="2286000" indent="0">
            <a:defRPr sz="1100">
              <a:latin typeface="Calibri" panose="020F0502020204030204"/>
            </a:defRPr>
          </a:lvl6pPr>
          <a:lvl7pPr marL="2743200" indent="0">
            <a:defRPr sz="1100">
              <a:latin typeface="Calibri" panose="020F0502020204030204"/>
            </a:defRPr>
          </a:lvl7pPr>
          <a:lvl8pPr marL="3200400" indent="0">
            <a:defRPr sz="1100">
              <a:latin typeface="Calibri" panose="020F0502020204030204"/>
            </a:defRPr>
          </a:lvl8pPr>
          <a:lvl9pPr marL="3657600" indent="0">
            <a:defRPr sz="1100">
              <a:latin typeface="Calibri" panose="020F0502020204030204"/>
            </a:defRPr>
          </a:lvl9pPr>
        </a:lstStyle>
        <a:p>
          <a:r>
            <a:rPr lang="en-US" altLang="zh-CN" sz="900"/>
            <a:t>5.9%</a:t>
          </a:r>
          <a:endParaRPr lang="zh-CN" altLang="en-US" sz="900"/>
        </a:p>
      </cdr:txBody>
    </cdr:sp>
  </cdr:relSizeAnchor>
  <cdr:relSizeAnchor xmlns:cdr="http://schemas.openxmlformats.org/drawingml/2006/chartDrawing">
    <cdr:from>
      <cdr:x>0.41777</cdr:x>
      <cdr:y>0.41819</cdr:y>
    </cdr:from>
    <cdr:to>
      <cdr:x>0.51033</cdr:x>
      <cdr:y>0.50037</cdr:y>
    </cdr:to>
    <cdr:sp>
      <cdr:nvSpPr>
        <cdr:cNvPr id="7" name="矩形 6"/>
        <cdr:cNvSpPr/>
      </cdr:nvSpPr>
      <cdr:spPr xmlns:a="http://schemas.openxmlformats.org/drawingml/2006/main">
        <a:xfrm xmlns:a="http://schemas.openxmlformats.org/drawingml/2006/main">
          <a:off x="2292057" y="1075734"/>
          <a:ext cx="507808" cy="211414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>
          <a:lvl1pPr marL="0" indent="0">
            <a:defRPr sz="1100">
              <a:latin typeface="Calibri" panose="020F0502020204030204"/>
            </a:defRPr>
          </a:lvl1pPr>
          <a:lvl2pPr marL="457200" indent="0">
            <a:defRPr sz="1100">
              <a:latin typeface="Calibri" panose="020F0502020204030204"/>
            </a:defRPr>
          </a:lvl2pPr>
          <a:lvl3pPr marL="914400" indent="0">
            <a:defRPr sz="1100">
              <a:latin typeface="Calibri" panose="020F0502020204030204"/>
            </a:defRPr>
          </a:lvl3pPr>
          <a:lvl4pPr marL="1371600" indent="0">
            <a:defRPr sz="1100">
              <a:latin typeface="Calibri" panose="020F0502020204030204"/>
            </a:defRPr>
          </a:lvl4pPr>
          <a:lvl5pPr marL="1828800" indent="0">
            <a:defRPr sz="1100">
              <a:latin typeface="Calibri" panose="020F0502020204030204"/>
            </a:defRPr>
          </a:lvl5pPr>
          <a:lvl6pPr marL="2286000" indent="0">
            <a:defRPr sz="1100">
              <a:latin typeface="Calibri" panose="020F0502020204030204"/>
            </a:defRPr>
          </a:lvl6pPr>
          <a:lvl7pPr marL="2743200" indent="0">
            <a:defRPr sz="1100">
              <a:latin typeface="Calibri" panose="020F0502020204030204"/>
            </a:defRPr>
          </a:lvl7pPr>
          <a:lvl8pPr marL="3200400" indent="0">
            <a:defRPr sz="1100">
              <a:latin typeface="Calibri" panose="020F0502020204030204"/>
            </a:defRPr>
          </a:lvl8pPr>
          <a:lvl9pPr marL="3657600" indent="0">
            <a:defRPr sz="1100">
              <a:latin typeface="Calibri" panose="020F0502020204030204"/>
            </a:defRPr>
          </a:lvl9pPr>
        </a:lstStyle>
        <a:p>
          <a:r>
            <a:rPr lang="en-US" altLang="zh-CN" sz="900"/>
            <a:t>14.3%</a:t>
          </a:r>
          <a:endParaRPr lang="zh-CN" altLang="en-US" sz="900"/>
        </a:p>
      </cdr:txBody>
    </cdr:sp>
  </cdr:relSizeAnchor>
  <cdr:relSizeAnchor xmlns:cdr="http://schemas.openxmlformats.org/drawingml/2006/chartDrawing">
    <cdr:from>
      <cdr:x>0.25098</cdr:x>
      <cdr:y>0.31608</cdr:y>
    </cdr:from>
    <cdr:to>
      <cdr:x>0.34634</cdr:x>
      <cdr:y>0.37243</cdr:y>
    </cdr:to>
    <cdr:sp>
      <cdr:nvSpPr>
        <cdr:cNvPr id="8" name="矩形 7"/>
        <cdr:cNvSpPr/>
      </cdr:nvSpPr>
      <cdr:spPr xmlns:a="http://schemas.openxmlformats.org/drawingml/2006/main">
        <a:xfrm xmlns:a="http://schemas.openxmlformats.org/drawingml/2006/main">
          <a:off x="1532534" y="976522"/>
          <a:ext cx="582276" cy="174091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/>
        <a:p>
          <a:endParaRPr lang="zh-CN" altLang="en-US"/>
        </a:p>
      </cdr:txBody>
    </cdr:sp>
  </cdr:relSizeAnchor>
  <cdr:relSizeAnchor xmlns:cdr="http://schemas.openxmlformats.org/drawingml/2006/chartDrawing">
    <cdr:from>
      <cdr:x>0.16319</cdr:x>
      <cdr:y>0.68027</cdr:y>
    </cdr:from>
    <cdr:to>
      <cdr:x>0.25855</cdr:x>
      <cdr:y>0.77651</cdr:y>
    </cdr:to>
    <cdr:sp>
      <cdr:nvSpPr>
        <cdr:cNvPr id="9" name="矩形 8"/>
        <cdr:cNvSpPr/>
      </cdr:nvSpPr>
      <cdr:spPr xmlns:a="http://schemas.openxmlformats.org/drawingml/2006/main">
        <a:xfrm xmlns:a="http://schemas.openxmlformats.org/drawingml/2006/main">
          <a:off x="1056959" y="2144726"/>
          <a:ext cx="617646" cy="303423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/>
        <a:p>
          <a:endParaRPr lang="zh-CN" altLang="en-US"/>
        </a:p>
      </cdr:txBody>
    </cdr:sp>
  </cdr:relSizeAnchor>
  <cdr:relSizeAnchor xmlns:cdr="http://schemas.openxmlformats.org/drawingml/2006/chartDrawing">
    <cdr:from>
      <cdr:x>0.82631</cdr:x>
      <cdr:y>0.31105</cdr:y>
    </cdr:from>
    <cdr:to>
      <cdr:x>0.91553</cdr:x>
      <cdr:y>0.40132</cdr:y>
    </cdr:to>
    <cdr:sp>
      <cdr:nvSpPr>
        <cdr:cNvPr id="10" name="矩形 9"/>
        <cdr:cNvSpPr/>
      </cdr:nvSpPr>
      <cdr:spPr xmlns:a="http://schemas.openxmlformats.org/drawingml/2006/main">
        <a:xfrm xmlns:a="http://schemas.openxmlformats.org/drawingml/2006/main">
          <a:off x="5320556" y="980680"/>
          <a:ext cx="574479" cy="284601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/>
        <a:p>
          <a:endParaRPr lang="zh-CN" altLang="en-US"/>
        </a:p>
      </cdr:txBody>
    </cdr:sp>
  </cdr:relSizeAnchor>
  <cdr:relSizeAnchor xmlns:cdr="http://schemas.openxmlformats.org/drawingml/2006/chartDrawing">
    <cdr:from>
      <cdr:x>0.8623</cdr:x>
      <cdr:y>0.59254</cdr:y>
    </cdr:from>
    <cdr:to>
      <cdr:x>0.966</cdr:x>
      <cdr:y>0.68282</cdr:y>
    </cdr:to>
    <cdr:sp>
      <cdr:nvSpPr>
        <cdr:cNvPr id="11" name="矩形 10"/>
        <cdr:cNvSpPr/>
      </cdr:nvSpPr>
      <cdr:spPr xmlns:a="http://schemas.openxmlformats.org/drawingml/2006/main">
        <a:xfrm xmlns:a="http://schemas.openxmlformats.org/drawingml/2006/main">
          <a:off x="5552247" y="1868144"/>
          <a:ext cx="667714" cy="284633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/>
        <a:p>
          <a:endParaRPr lang="zh-CN" altLang="en-US"/>
        </a:p>
      </cdr:txBody>
    </cdr:sp>
  </cdr:relSizeAnchor>
  <cdr:relSizeAnchor xmlns:cdr="http://schemas.openxmlformats.org/drawingml/2006/chartDrawing">
    <cdr:from>
      <cdr:x>0.62194</cdr:x>
      <cdr:y>0.39884</cdr:y>
    </cdr:from>
    <cdr:to>
      <cdr:x>0.72565</cdr:x>
      <cdr:y>0.48912</cdr:y>
    </cdr:to>
    <cdr:sp>
      <cdr:nvSpPr>
        <cdr:cNvPr id="12" name="矩形 11"/>
        <cdr:cNvSpPr/>
      </cdr:nvSpPr>
      <cdr:spPr xmlns:a="http://schemas.openxmlformats.org/drawingml/2006/main">
        <a:xfrm xmlns:a="http://schemas.openxmlformats.org/drawingml/2006/main">
          <a:off x="3797616" y="1228417"/>
          <a:ext cx="633263" cy="278057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/>
        <a:p>
          <a:endParaRPr lang="zh-CN" altLang="en-US"/>
        </a:p>
      </cdr:txBody>
    </cdr:sp>
  </cdr:relSizeAnchor>
  <cdr:relSizeAnchor xmlns:cdr="http://schemas.openxmlformats.org/drawingml/2006/chartDrawing">
    <cdr:from>
      <cdr:x>0.81381</cdr:x>
      <cdr:y>0.39931</cdr:y>
    </cdr:from>
    <cdr:to>
      <cdr:x>0.91751</cdr:x>
      <cdr:y>0.49427</cdr:y>
    </cdr:to>
    <cdr:sp>
      <cdr:nvSpPr>
        <cdr:cNvPr id="13" name="矩形 12"/>
        <cdr:cNvSpPr/>
      </cdr:nvSpPr>
      <cdr:spPr xmlns:a="http://schemas.openxmlformats.org/drawingml/2006/main">
        <a:xfrm xmlns:a="http://schemas.openxmlformats.org/drawingml/2006/main">
          <a:off x="5240040" y="1258935"/>
          <a:ext cx="667714" cy="299387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/>
        <a:p>
          <a:endParaRPr lang="zh-CN" altLang="en-US"/>
        </a:p>
      </cdr:txBody>
    </cdr:sp>
  </cdr:relSizeAnchor>
  <cdr:relSizeAnchor xmlns:cdr="http://schemas.openxmlformats.org/drawingml/2006/chartDrawing">
    <cdr:from>
      <cdr:x>0.25098</cdr:x>
      <cdr:y>0.31608</cdr:y>
    </cdr:from>
    <cdr:to>
      <cdr:x>0.34634</cdr:x>
      <cdr:y>0.37243</cdr:y>
    </cdr:to>
    <cdr:sp>
      <cdr:nvSpPr>
        <cdr:cNvPr id="14" name="矩形 13"/>
        <cdr:cNvSpPr/>
      </cdr:nvSpPr>
      <cdr:spPr xmlns:a="http://schemas.openxmlformats.org/drawingml/2006/main">
        <a:xfrm xmlns:a="http://schemas.openxmlformats.org/drawingml/2006/main">
          <a:off x="1532534" y="976522"/>
          <a:ext cx="582276" cy="174091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/>
        <a:p>
          <a:endParaRPr lang="zh-CN" altLang="en-US"/>
        </a:p>
      </cdr:txBody>
    </cdr:sp>
  </cdr:relSizeAnchor>
  <cdr:relSizeAnchor xmlns:cdr="http://schemas.openxmlformats.org/drawingml/2006/chartDrawing">
    <cdr:from>
      <cdr:x>0.68803</cdr:x>
      <cdr:y>0.59806</cdr:y>
    </cdr:from>
    <cdr:to>
      <cdr:x>0.79174</cdr:x>
      <cdr:y>0.68834</cdr:y>
    </cdr:to>
    <cdr:sp>
      <cdr:nvSpPr>
        <cdr:cNvPr id="15" name="矩形 14"/>
        <cdr:cNvSpPr/>
      </cdr:nvSpPr>
      <cdr:spPr xmlns:a="http://schemas.openxmlformats.org/drawingml/2006/main">
        <a:xfrm xmlns:a="http://schemas.openxmlformats.org/drawingml/2006/main">
          <a:off x="3774785" y="1538435"/>
          <a:ext cx="568994" cy="232235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="horz" wrap="square" lIns="45720" tIns="45720" rIns="45720" bIns="45720" rtlCol="0" anchor="t" anchorCtr="0">
          <a:normAutofit/>
        </a:bodyPr>
        <a:lstStyle>
          <a:lvl1pPr marL="0" indent="0">
            <a:defRPr sz="1100">
              <a:latin typeface="Calibri" panose="020F0502020204030204"/>
            </a:defRPr>
          </a:lvl1pPr>
          <a:lvl2pPr marL="457200" indent="0">
            <a:defRPr sz="1100">
              <a:latin typeface="Calibri" panose="020F0502020204030204"/>
            </a:defRPr>
          </a:lvl2pPr>
          <a:lvl3pPr marL="914400" indent="0">
            <a:defRPr sz="1100">
              <a:latin typeface="Calibri" panose="020F0502020204030204"/>
            </a:defRPr>
          </a:lvl3pPr>
          <a:lvl4pPr marL="1371600" indent="0">
            <a:defRPr sz="1100">
              <a:latin typeface="Calibri" panose="020F0502020204030204"/>
            </a:defRPr>
          </a:lvl4pPr>
          <a:lvl5pPr marL="1828800" indent="0">
            <a:defRPr sz="1100">
              <a:latin typeface="Calibri" panose="020F0502020204030204"/>
            </a:defRPr>
          </a:lvl5pPr>
          <a:lvl6pPr marL="2286000" indent="0">
            <a:defRPr sz="1100">
              <a:latin typeface="Calibri" panose="020F0502020204030204"/>
            </a:defRPr>
          </a:lvl6pPr>
          <a:lvl7pPr marL="2743200" indent="0">
            <a:defRPr sz="1100">
              <a:latin typeface="Calibri" panose="020F0502020204030204"/>
            </a:defRPr>
          </a:lvl7pPr>
          <a:lvl8pPr marL="3200400" indent="0">
            <a:defRPr sz="1100">
              <a:latin typeface="Calibri" panose="020F0502020204030204"/>
            </a:defRPr>
          </a:lvl8pPr>
          <a:lvl9pPr marL="3657600" indent="0">
            <a:defRPr sz="1100">
              <a:latin typeface="Calibri" panose="020F0502020204030204"/>
            </a:defRPr>
          </a:lvl9pPr>
        </a:lstStyle>
        <a:p>
          <a:r>
            <a:rPr lang="en-US" altLang="zh-CN" sz="900"/>
            <a:t>19.4%</a:t>
          </a:r>
          <a:endParaRPr lang="zh-CN" altLang="en-US" sz="900"/>
        </a:p>
      </cdr:txBody>
    </cdr:sp>
  </cdr:relSizeAnchor>
  <cdr:relSizeAnchor xmlns:cdr="http://schemas.openxmlformats.org/drawingml/2006/chartDrawing">
    <cdr:from>
      <cdr:x>0.14696</cdr:x>
      <cdr:y>0.71073</cdr:y>
    </cdr:from>
    <cdr:to>
      <cdr:x>0.15778</cdr:x>
      <cdr:y>0.78248</cdr:y>
    </cdr:to>
    <cdr:sp>
      <cdr:nvSpPr>
        <cdr:cNvPr id="16" name="下箭头 15"/>
        <cdr:cNvSpPr/>
      </cdr:nvSpPr>
      <cdr:spPr xmlns:a="http://schemas.openxmlformats.org/drawingml/2006/main">
        <a:xfrm xmlns:a="http://schemas.openxmlformats.org/drawingml/2006/main">
          <a:off x="806291" y="1828270"/>
          <a:ext cx="59363" cy="184568"/>
        </a:xfrm>
        <a:prstGeom xmlns:a="http://schemas.openxmlformats.org/drawingml/2006/main" prst="downArrow">
          <a:avLst/>
        </a:prstGeom>
        <a:solidFill>
          <a:srgbClr val="9BBB59"/>
        </a:solidFill>
        <a:ln w="25400" cap="flat" cmpd="sng" algn="ctr">
          <a:solidFill>
            <a:srgbClr val="9BBB59">
              <a:shade val="50000"/>
            </a:srgbClr>
          </a:solidFill>
          <a:prstDash val="solid"/>
        </a:ln>
        <a:effectLst/>
      </cdr:spPr>
      <cdr:style>
        <a:lnRef xmlns:a="http://schemas.openxmlformats.org/drawingml/2006/main" idx="2">
          <a:schemeClr val="accent3">
            <a:shade val="50000"/>
          </a:schemeClr>
        </a:lnRef>
        <a:fillRef xmlns:a="http://schemas.openxmlformats.org/drawingml/2006/main" idx="1">
          <a:schemeClr val="accent3"/>
        </a:fillRef>
        <a:effectRef xmlns:a="http://schemas.openxmlformats.org/drawingml/2006/main" idx="0">
          <a:schemeClr val="accent3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="horz" wrap="none" lIns="45720" tIns="45720" rIns="45720" bIns="45720" anchor="t" anchorCtr="0">
          <a:normAutofit/>
        </a:bodyPr>
        <a:lstStyle/>
        <a:p>
          <a:endParaRPr lang="zh-CN" altLang="en-US"/>
        </a:p>
      </cdr:txBody>
    </cdr:sp>
  </cdr:relSizeAnchor>
  <cdr:relSizeAnchor xmlns:cdr="http://schemas.openxmlformats.org/drawingml/2006/chartDrawing">
    <cdr:from>
      <cdr:x>0.28434</cdr:x>
      <cdr:y>0.67372</cdr:y>
    </cdr:from>
    <cdr:to>
      <cdr:x>0.29517</cdr:x>
      <cdr:y>0.74546</cdr:y>
    </cdr:to>
    <cdr:sp>
      <cdr:nvSpPr>
        <cdr:cNvPr id="17" name="下箭头 16"/>
        <cdr:cNvSpPr/>
      </cdr:nvSpPr>
      <cdr:spPr xmlns:a="http://schemas.openxmlformats.org/drawingml/2006/main">
        <a:xfrm xmlns:a="http://schemas.openxmlformats.org/drawingml/2006/main">
          <a:off x="1559991" y="1733067"/>
          <a:ext cx="59418" cy="184543"/>
        </a:xfrm>
        <a:prstGeom xmlns:a="http://schemas.openxmlformats.org/drawingml/2006/main" prst="downArrow">
          <a:avLst/>
        </a:prstGeom>
        <a:solidFill>
          <a:srgbClr val="9BBB59"/>
        </a:solidFill>
        <a:ln w="25400" cap="flat" cmpd="sng" algn="ctr">
          <a:solidFill>
            <a:srgbClr val="9BBB59">
              <a:shade val="50000"/>
            </a:srgbClr>
          </a:solidFill>
          <a:prstDash val="solid"/>
        </a:ln>
        <a:effectLst/>
      </cdr:spPr>
      <cdr:style>
        <a:lnRef xmlns:a="http://schemas.openxmlformats.org/drawingml/2006/main" idx="2">
          <a:schemeClr val="accent3">
            <a:shade val="50000"/>
          </a:schemeClr>
        </a:lnRef>
        <a:fillRef xmlns:a="http://schemas.openxmlformats.org/drawingml/2006/main" idx="1">
          <a:schemeClr val="accent3"/>
        </a:fillRef>
        <a:effectRef xmlns:a="http://schemas.openxmlformats.org/drawingml/2006/main" idx="0">
          <a:schemeClr val="accent3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="horz" wrap="none" lIns="45720" tIns="45720" rIns="45720" bIns="45720" anchor="t" anchorCtr="0">
          <a:normAutofit/>
        </a:bodyPr>
        <a:lstStyle/>
        <a:p>
          <a:endParaRPr lang="zh-CN" altLang="en-US"/>
        </a:p>
      </cdr:txBody>
    </cdr:sp>
  </cdr:relSizeAnchor>
  <cdr:relSizeAnchor xmlns:cdr="http://schemas.openxmlformats.org/drawingml/2006/chartDrawing">
    <cdr:from>
      <cdr:x>0.41501</cdr:x>
      <cdr:y>0.41088</cdr:y>
    </cdr:from>
    <cdr:to>
      <cdr:x>0.42635</cdr:x>
      <cdr:y>0.48598</cdr:y>
    </cdr:to>
    <cdr:sp>
      <cdr:nvSpPr>
        <cdr:cNvPr id="18" name="下箭头 17"/>
        <cdr:cNvSpPr/>
      </cdr:nvSpPr>
      <cdr:spPr xmlns:a="http://schemas.openxmlformats.org/drawingml/2006/main">
        <a:xfrm xmlns:a="http://schemas.openxmlformats.org/drawingml/2006/main" flipV="1">
          <a:off x="2790779" y="1295397"/>
          <a:ext cx="76258" cy="236773"/>
        </a:xfrm>
        <a:prstGeom xmlns:a="http://schemas.openxmlformats.org/drawingml/2006/main" prst="downArrow">
          <a:avLst/>
        </a:prstGeom>
        <a:solidFill>
          <a:srgbClr val="C0504D"/>
        </a:solidFill>
        <a:ln w="25400" cap="flat" cmpd="sng" algn="ctr">
          <a:solidFill>
            <a:srgbClr val="C0504D">
              <a:shade val="50000"/>
            </a:srgbClr>
          </a:solidFill>
          <a:prstDash val="solid"/>
        </a:ln>
        <a:effectLst/>
      </cdr:spPr>
      <cdr:style>
        <a:lnRef xmlns:a="http://schemas.openxmlformats.org/drawingml/2006/main" idx="2">
          <a:schemeClr val="accent2">
            <a:shade val="50000"/>
          </a:schemeClr>
        </a:lnRef>
        <a:fillRef xmlns:a="http://schemas.openxmlformats.org/drawingml/2006/main" idx="1">
          <a:schemeClr val="accent2"/>
        </a:fillRef>
        <a:effectRef xmlns:a="http://schemas.openxmlformats.org/drawingml/2006/main" idx="0">
          <a:schemeClr val="accent2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="horz" wrap="none" lIns="45720" tIns="45720" rIns="45720" bIns="45720" anchor="t" anchorCtr="0">
          <a:normAutofit/>
        </a:bodyPr>
        <a:lstStyle/>
        <a:p>
          <a:endParaRPr lang="zh-CN" altLang="en-US"/>
        </a:p>
      </cdr:txBody>
    </cdr:sp>
  </cdr:relSizeAnchor>
  <cdr:relSizeAnchor xmlns:cdr="http://schemas.openxmlformats.org/drawingml/2006/chartDrawing">
    <cdr:from>
      <cdr:x>0.55099</cdr:x>
      <cdr:y>0.44411</cdr:y>
    </cdr:from>
    <cdr:to>
      <cdr:x>0.56182</cdr:x>
      <cdr:y>0.51585</cdr:y>
    </cdr:to>
    <cdr:sp>
      <cdr:nvSpPr>
        <cdr:cNvPr id="19" name="下箭头 18"/>
        <cdr:cNvSpPr/>
      </cdr:nvSpPr>
      <cdr:spPr xmlns:a="http://schemas.openxmlformats.org/drawingml/2006/main">
        <a:xfrm xmlns:a="http://schemas.openxmlformats.org/drawingml/2006/main">
          <a:off x="3705225" y="1400175"/>
          <a:ext cx="72828" cy="226180"/>
        </a:xfrm>
        <a:prstGeom xmlns:a="http://schemas.openxmlformats.org/drawingml/2006/main" prst="downArrow">
          <a:avLst/>
        </a:prstGeom>
        <a:solidFill>
          <a:srgbClr val="9BBB59"/>
        </a:solidFill>
        <a:ln w="25400" cap="flat" cmpd="sng" algn="ctr">
          <a:solidFill>
            <a:srgbClr val="9BBB59">
              <a:shade val="50000"/>
            </a:srgbClr>
          </a:solidFill>
          <a:prstDash val="solid"/>
        </a:ln>
        <a:effectLst/>
      </cdr:spPr>
      <cdr:style>
        <a:lnRef xmlns:a="http://schemas.openxmlformats.org/drawingml/2006/main" idx="2">
          <a:schemeClr val="accent3">
            <a:shade val="50000"/>
          </a:schemeClr>
        </a:lnRef>
        <a:fillRef xmlns:a="http://schemas.openxmlformats.org/drawingml/2006/main" idx="1">
          <a:schemeClr val="accent3"/>
        </a:fillRef>
        <a:effectRef xmlns:a="http://schemas.openxmlformats.org/drawingml/2006/main" idx="0">
          <a:schemeClr val="accent3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="horz" wrap="none" lIns="45720" tIns="45720" rIns="45720" bIns="45720" anchor="t" anchorCtr="0">
          <a:normAutofit/>
        </a:bodyPr>
        <a:lstStyle>
          <a:lvl1pPr marL="0" indent="0">
            <a:defRPr sz="1100">
              <a:solidFill>
                <a:sysClr val="window" lastClr="FFFFFF"/>
              </a:solidFill>
              <a:latin typeface="Calibri" panose="020F0502020204030204"/>
            </a:defRPr>
          </a:lvl1pPr>
          <a:lvl2pPr marL="457200" indent="0">
            <a:defRPr sz="1100">
              <a:solidFill>
                <a:sysClr val="window" lastClr="FFFFFF"/>
              </a:solidFill>
              <a:latin typeface="Calibri" panose="020F0502020204030204"/>
            </a:defRPr>
          </a:lvl2pPr>
          <a:lvl3pPr marL="914400" indent="0">
            <a:defRPr sz="1100">
              <a:solidFill>
                <a:sysClr val="window" lastClr="FFFFFF"/>
              </a:solidFill>
              <a:latin typeface="Calibri" panose="020F0502020204030204"/>
            </a:defRPr>
          </a:lvl3pPr>
          <a:lvl4pPr marL="1371600" indent="0">
            <a:defRPr sz="1100">
              <a:solidFill>
                <a:sysClr val="window" lastClr="FFFFFF"/>
              </a:solidFill>
              <a:latin typeface="Calibri" panose="020F0502020204030204"/>
            </a:defRPr>
          </a:lvl4pPr>
          <a:lvl5pPr marL="1828800" indent="0">
            <a:defRPr sz="1100">
              <a:solidFill>
                <a:sysClr val="window" lastClr="FFFFFF"/>
              </a:solidFill>
              <a:latin typeface="Calibri" panose="020F0502020204030204"/>
            </a:defRPr>
          </a:lvl5pPr>
          <a:lvl6pPr marL="2286000" indent="0">
            <a:defRPr sz="1100">
              <a:solidFill>
                <a:sysClr val="window" lastClr="FFFFFF"/>
              </a:solidFill>
              <a:latin typeface="Calibri" panose="020F0502020204030204"/>
            </a:defRPr>
          </a:lvl6pPr>
          <a:lvl7pPr marL="2743200" indent="0">
            <a:defRPr sz="1100">
              <a:solidFill>
                <a:sysClr val="window" lastClr="FFFFFF"/>
              </a:solidFill>
              <a:latin typeface="Calibri" panose="020F0502020204030204"/>
            </a:defRPr>
          </a:lvl7pPr>
          <a:lvl8pPr marL="3200400" indent="0">
            <a:defRPr sz="1100">
              <a:solidFill>
                <a:sysClr val="window" lastClr="FFFFFF"/>
              </a:solidFill>
              <a:latin typeface="Calibri" panose="020F0502020204030204"/>
            </a:defRPr>
          </a:lvl8pPr>
          <a:lvl9pPr marL="3657600" indent="0">
            <a:defRPr sz="1100">
              <a:solidFill>
                <a:sysClr val="window" lastClr="FFFFFF"/>
              </a:solidFill>
              <a:latin typeface="Calibri" panose="020F0502020204030204"/>
            </a:defRPr>
          </a:lvl9pPr>
        </a:lstStyle>
        <a:p>
          <a:endParaRPr lang="zh-CN" altLang="en-US"/>
        </a:p>
      </cdr:txBody>
    </cdr:sp>
  </cdr:relSizeAnchor>
  <cdr:relSizeAnchor xmlns:cdr="http://schemas.openxmlformats.org/drawingml/2006/chartDrawing">
    <cdr:from>
      <cdr:x>0.68555</cdr:x>
      <cdr:y>0.61329</cdr:y>
    </cdr:from>
    <cdr:to>
      <cdr:x>0.69638</cdr:x>
      <cdr:y>0.68503</cdr:y>
    </cdr:to>
    <cdr:sp>
      <cdr:nvSpPr>
        <cdr:cNvPr id="20" name="下箭头 19"/>
        <cdr:cNvSpPr/>
      </cdr:nvSpPr>
      <cdr:spPr xmlns:a="http://schemas.openxmlformats.org/drawingml/2006/main">
        <a:xfrm xmlns:a="http://schemas.openxmlformats.org/drawingml/2006/main">
          <a:off x="4610100" y="1933575"/>
          <a:ext cx="72828" cy="226180"/>
        </a:xfrm>
        <a:prstGeom xmlns:a="http://schemas.openxmlformats.org/drawingml/2006/main" prst="downArrow">
          <a:avLst/>
        </a:prstGeom>
        <a:solidFill>
          <a:srgbClr val="9BBB59"/>
        </a:solidFill>
        <a:ln w="25400" cap="flat" cmpd="sng" algn="ctr">
          <a:solidFill>
            <a:srgbClr val="9BBB59">
              <a:shade val="50000"/>
            </a:srgbClr>
          </a:solidFill>
          <a:prstDash val="solid"/>
        </a:ln>
        <a:effectLst/>
      </cdr:spPr>
      <cdr:style>
        <a:lnRef xmlns:a="http://schemas.openxmlformats.org/drawingml/2006/main" idx="2">
          <a:schemeClr val="accent3">
            <a:shade val="50000"/>
          </a:schemeClr>
        </a:lnRef>
        <a:fillRef xmlns:a="http://schemas.openxmlformats.org/drawingml/2006/main" idx="1">
          <a:schemeClr val="accent3"/>
        </a:fillRef>
        <a:effectRef xmlns:a="http://schemas.openxmlformats.org/drawingml/2006/main" idx="0">
          <a:schemeClr val="accent3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="horz" wrap="none" lIns="45720" tIns="45720" rIns="45720" bIns="45720" anchor="t" anchorCtr="0">
          <a:normAutofit/>
        </a:bodyPr>
        <a:lstStyle>
          <a:lvl1pPr marL="0" indent="0">
            <a:defRPr sz="1100">
              <a:solidFill>
                <a:sysClr val="window" lastClr="FFFFFF"/>
              </a:solidFill>
              <a:latin typeface="Calibri" panose="020F0502020204030204"/>
            </a:defRPr>
          </a:lvl1pPr>
          <a:lvl2pPr marL="457200" indent="0">
            <a:defRPr sz="1100">
              <a:solidFill>
                <a:sysClr val="window" lastClr="FFFFFF"/>
              </a:solidFill>
              <a:latin typeface="Calibri" panose="020F0502020204030204"/>
            </a:defRPr>
          </a:lvl2pPr>
          <a:lvl3pPr marL="914400" indent="0">
            <a:defRPr sz="1100">
              <a:solidFill>
                <a:sysClr val="window" lastClr="FFFFFF"/>
              </a:solidFill>
              <a:latin typeface="Calibri" panose="020F0502020204030204"/>
            </a:defRPr>
          </a:lvl3pPr>
          <a:lvl4pPr marL="1371600" indent="0">
            <a:defRPr sz="1100">
              <a:solidFill>
                <a:sysClr val="window" lastClr="FFFFFF"/>
              </a:solidFill>
              <a:latin typeface="Calibri" panose="020F0502020204030204"/>
            </a:defRPr>
          </a:lvl4pPr>
          <a:lvl5pPr marL="1828800" indent="0">
            <a:defRPr sz="1100">
              <a:solidFill>
                <a:sysClr val="window" lastClr="FFFFFF"/>
              </a:solidFill>
              <a:latin typeface="Calibri" panose="020F0502020204030204"/>
            </a:defRPr>
          </a:lvl5pPr>
          <a:lvl6pPr marL="2286000" indent="0">
            <a:defRPr sz="1100">
              <a:solidFill>
                <a:sysClr val="window" lastClr="FFFFFF"/>
              </a:solidFill>
              <a:latin typeface="Calibri" panose="020F0502020204030204"/>
            </a:defRPr>
          </a:lvl6pPr>
          <a:lvl7pPr marL="2743200" indent="0">
            <a:defRPr sz="1100">
              <a:solidFill>
                <a:sysClr val="window" lastClr="FFFFFF"/>
              </a:solidFill>
              <a:latin typeface="Calibri" panose="020F0502020204030204"/>
            </a:defRPr>
          </a:lvl7pPr>
          <a:lvl8pPr marL="3200400" indent="0">
            <a:defRPr sz="1100">
              <a:solidFill>
                <a:sysClr val="window" lastClr="FFFFFF"/>
              </a:solidFill>
              <a:latin typeface="Calibri" panose="020F0502020204030204"/>
            </a:defRPr>
          </a:lvl8pPr>
          <a:lvl9pPr marL="3657600" indent="0">
            <a:defRPr sz="1100">
              <a:solidFill>
                <a:sysClr val="window" lastClr="FFFFFF"/>
              </a:solidFill>
              <a:latin typeface="Calibri" panose="020F0502020204030204"/>
            </a:defRPr>
          </a:lvl9pPr>
        </a:lstStyle>
        <a:p>
          <a:endParaRPr lang="zh-CN" altLang="en-US"/>
        </a:p>
      </cdr:txBody>
    </cdr:sp>
  </cdr:relSizeAnchor>
  <cdr:relSizeAnchor xmlns:cdr="http://schemas.openxmlformats.org/drawingml/2006/chartDrawing">
    <cdr:from>
      <cdr:x>0.82011</cdr:x>
      <cdr:y>0.67372</cdr:y>
    </cdr:from>
    <cdr:to>
      <cdr:x>0.83094</cdr:x>
      <cdr:y>0.74546</cdr:y>
    </cdr:to>
    <cdr:sp>
      <cdr:nvSpPr>
        <cdr:cNvPr id="21" name="下箭头 20"/>
        <cdr:cNvSpPr/>
      </cdr:nvSpPr>
      <cdr:spPr xmlns:a="http://schemas.openxmlformats.org/drawingml/2006/main">
        <a:xfrm xmlns:a="http://schemas.openxmlformats.org/drawingml/2006/main">
          <a:off x="5514975" y="2124075"/>
          <a:ext cx="72828" cy="226180"/>
        </a:xfrm>
        <a:prstGeom xmlns:a="http://schemas.openxmlformats.org/drawingml/2006/main" prst="downArrow">
          <a:avLst/>
        </a:prstGeom>
        <a:solidFill>
          <a:srgbClr val="9BBB59"/>
        </a:solidFill>
        <a:ln w="25400" cap="flat" cmpd="sng" algn="ctr">
          <a:solidFill>
            <a:srgbClr val="9BBB59">
              <a:shade val="50000"/>
            </a:srgbClr>
          </a:solidFill>
          <a:prstDash val="solid"/>
        </a:ln>
        <a:effectLst/>
      </cdr:spPr>
      <cdr:style>
        <a:lnRef xmlns:a="http://schemas.openxmlformats.org/drawingml/2006/main" idx="2">
          <a:schemeClr val="accent3">
            <a:shade val="50000"/>
          </a:schemeClr>
        </a:lnRef>
        <a:fillRef xmlns:a="http://schemas.openxmlformats.org/drawingml/2006/main" idx="1">
          <a:schemeClr val="accent3"/>
        </a:fillRef>
        <a:effectRef xmlns:a="http://schemas.openxmlformats.org/drawingml/2006/main" idx="0">
          <a:schemeClr val="accent3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="horz" wrap="none" lIns="45720" tIns="45720" rIns="45720" bIns="45720" anchor="t" anchorCtr="0">
          <a:normAutofit/>
        </a:bodyPr>
        <a:lstStyle>
          <a:lvl1pPr marL="0" indent="0">
            <a:defRPr sz="1100">
              <a:solidFill>
                <a:sysClr val="window" lastClr="FFFFFF"/>
              </a:solidFill>
              <a:latin typeface="Calibri" panose="020F0502020204030204"/>
            </a:defRPr>
          </a:lvl1pPr>
          <a:lvl2pPr marL="457200" indent="0">
            <a:defRPr sz="1100">
              <a:solidFill>
                <a:sysClr val="window" lastClr="FFFFFF"/>
              </a:solidFill>
              <a:latin typeface="Calibri" panose="020F0502020204030204"/>
            </a:defRPr>
          </a:lvl2pPr>
          <a:lvl3pPr marL="914400" indent="0">
            <a:defRPr sz="1100">
              <a:solidFill>
                <a:sysClr val="window" lastClr="FFFFFF"/>
              </a:solidFill>
              <a:latin typeface="Calibri" panose="020F0502020204030204"/>
            </a:defRPr>
          </a:lvl3pPr>
          <a:lvl4pPr marL="1371600" indent="0">
            <a:defRPr sz="1100">
              <a:solidFill>
                <a:sysClr val="window" lastClr="FFFFFF"/>
              </a:solidFill>
              <a:latin typeface="Calibri" panose="020F0502020204030204"/>
            </a:defRPr>
          </a:lvl4pPr>
          <a:lvl5pPr marL="1828800" indent="0">
            <a:defRPr sz="1100">
              <a:solidFill>
                <a:sysClr val="window" lastClr="FFFFFF"/>
              </a:solidFill>
              <a:latin typeface="Calibri" panose="020F0502020204030204"/>
            </a:defRPr>
          </a:lvl5pPr>
          <a:lvl6pPr marL="2286000" indent="0">
            <a:defRPr sz="1100">
              <a:solidFill>
                <a:sysClr val="window" lastClr="FFFFFF"/>
              </a:solidFill>
              <a:latin typeface="Calibri" panose="020F0502020204030204"/>
            </a:defRPr>
          </a:lvl6pPr>
          <a:lvl7pPr marL="2743200" indent="0">
            <a:defRPr sz="1100">
              <a:solidFill>
                <a:sysClr val="window" lastClr="FFFFFF"/>
              </a:solidFill>
              <a:latin typeface="Calibri" panose="020F0502020204030204"/>
            </a:defRPr>
          </a:lvl7pPr>
          <a:lvl8pPr marL="3200400" indent="0">
            <a:defRPr sz="1100">
              <a:solidFill>
                <a:sysClr val="window" lastClr="FFFFFF"/>
              </a:solidFill>
              <a:latin typeface="Calibri" panose="020F0502020204030204"/>
            </a:defRPr>
          </a:lvl8pPr>
          <a:lvl9pPr marL="3657600" indent="0">
            <a:defRPr sz="1100">
              <a:solidFill>
                <a:sysClr val="window" lastClr="FFFFFF"/>
              </a:solidFill>
              <a:latin typeface="Calibri" panose="020F0502020204030204"/>
            </a:defRPr>
          </a:lvl9pPr>
        </a:lstStyle>
        <a:p>
          <a:endParaRPr lang="zh-CN" altLang="en-US"/>
        </a:p>
      </cdr:txBody>
    </cdr:sp>
  </cdr:relSizeAnchor>
</c:userShap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289</Words>
  <Characters>1649</Characters>
  <Lines>13</Lines>
  <Paragraphs>3</Paragraphs>
  <TotalTime>0</TotalTime>
  <ScaleCrop>false</ScaleCrop>
  <LinksUpToDate>false</LinksUpToDate>
  <CharactersWithSpaces>1935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2023-02-02T07:27:00Z</dcterms:created>
  <dc:creator>ton</dc:creator>
  <cp:lastModifiedBy>Administrator</cp:lastModifiedBy>
  <cp:lastPrinted>2014-05-23T07:21:00Z</cp:lastPrinted>
  <dcterms:modified xsi:type="dcterms:W3CDTF">2023-06-15T01:51:06Z</dcterms:modified>
  <dc:title>一、 监测概况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F258D77F3D004CFD8F006C5079010616</vt:lpwstr>
  </property>
</Properties>
</file>