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pPr w:leftFromText="180" w:rightFromText="180" w:vertAnchor="page" w:horzAnchor="page" w:tblpX="1892" w:tblpY="2666"/>
        <w:tblOverlap w:val="never"/>
        <w:tblW w:w="85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019"/>
        <w:gridCol w:w="1619"/>
        <w:gridCol w:w="1537"/>
        <w:gridCol w:w="1388"/>
        <w:gridCol w:w="1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第三季度科研服务业奖励明细表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912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26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当年年季度营业收入累计增速（%）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上年同季度营业收入</w:t>
            </w: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当季度营业收入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65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惠州铭扬工程设计有限公司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bookmarkStart w:id="0" w:name="_GoBack"/>
            <w:bookmarkEnd w:id="0"/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200.2 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惠州市中惠益新科技有限公司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48.6 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广东科清环境技术有限公司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13040.7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17.7 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218.0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惠州市大亚湾人居科技有限公司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7119.6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1590.6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82266.7 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1210.14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惠州大亚湾碧清排水有限公司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78.0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1248.3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2311.4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广东广大石油化工规划设计有限公司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144.3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311.9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惠州市瑞科威能石化管材科技有限公司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332.2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726.4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中海油节能环保服务（惠州）有限公司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37.0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1072.9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1773.1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惠州大亚湾石化工业区环保发展有限公司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942.0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1287.8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5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广东晟惠检测科技有限公司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255.6 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497.1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9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合计奖励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98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6423C"/>
    <w:rsid w:val="27E6423C"/>
    <w:rsid w:val="2832538B"/>
    <w:rsid w:val="4066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2023-10-26T14:03:00Z</dcterms:created>
  <dc:creator>(￣o￣) . z Z</dc:creator>
  <cp:lastModifiedBy>黄琳</cp:lastModifiedBy>
  <cp:lastPrinted>2023-10-26T14:19:00Z</cp:lastPrinted>
  <dcterms:modified xsi:type="dcterms:W3CDTF">2023-10-30T07:49:21Z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CA2C017FD28A4A419AA0C89F28BF7BAF</vt:lpwstr>
  </property>
</Properties>
</file>