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116BA" w:rsidRDefault="00103432">
      <w:pPr>
        <w:rPr>
          <w:rFonts w:ascii="宋体" w:hAnsi="宋体"/>
          <w:sz w:val="84"/>
          <w:szCs w:val="84"/>
        </w:rPr>
      </w:pPr>
      <w:bookmarkStart w:id="0" w:name="_Toc167634190"/>
      <w:bookmarkStart w:id="1" w:name="_Toc167634890"/>
      <w:bookmarkStart w:id="2" w:name="_Toc229881820"/>
      <w:bookmarkStart w:id="3" w:name="_Toc167634119"/>
      <w:bookmarkStart w:id="4" w:name="_Toc229881873"/>
      <w:bookmarkStart w:id="5" w:name="_Toc168279399"/>
      <w:bookmarkStart w:id="6" w:name="_Toc167634861"/>
      <w:r>
        <w:rPr>
          <w:rFonts w:ascii="宋体" w:hAnsi="宋体" w:hint="eastAsia"/>
          <w:sz w:val="28"/>
          <w:szCs w:val="28"/>
        </w:rPr>
        <w:t xml:space="preserve">                                                 </w:t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059815" cy="1036955"/>
            <wp:effectExtent l="19050" t="0" r="6985" b="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84"/>
          <w:szCs w:val="84"/>
        </w:rPr>
        <w:t xml:space="preserve">    </w:t>
      </w:r>
    </w:p>
    <w:p w:rsidR="00C116BA" w:rsidRDefault="00103432">
      <w:pPr>
        <w:ind w:leftChars="2800" w:left="17640" w:hangingChars="1400" w:hanging="11760"/>
        <w:rPr>
          <w:rFonts w:ascii="宋体" w:hAnsi="宋体"/>
          <w:sz w:val="84"/>
          <w:szCs w:val="84"/>
        </w:rPr>
      </w:pPr>
      <w:r>
        <w:rPr>
          <w:rFonts w:ascii="宋体" w:hAnsi="宋体" w:hint="eastAsia"/>
          <w:sz w:val="84"/>
          <w:szCs w:val="84"/>
        </w:rPr>
        <w:t xml:space="preserve"> 202</w:t>
      </w:r>
      <w:r w:rsidR="004B2D5B">
        <w:rPr>
          <w:rFonts w:ascii="宋体" w:hAnsi="宋体" w:hint="eastAsia"/>
          <w:sz w:val="84"/>
          <w:szCs w:val="84"/>
        </w:rPr>
        <w:t>3</w:t>
      </w:r>
    </w:p>
    <w:p w:rsidR="00C116BA" w:rsidRDefault="0032632E">
      <w:pPr>
        <w:rPr>
          <w:rFonts w:ascii="宋体" w:hAnsi="宋体"/>
          <w:sz w:val="28"/>
          <w:szCs w:val="28"/>
        </w:rPr>
      </w:pPr>
      <w:r w:rsidRPr="0032632E">
        <w:pict>
          <v:line id="_x0000_s1028" style="position:absolute;left:0;text-align:left;z-index:251656704" from="0,3.9pt" to="423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"/>
        </w:pict>
      </w:r>
    </w:p>
    <w:p w:rsidR="00C116BA" w:rsidRDefault="00103432">
      <w:pPr>
        <w:ind w:left="6300" w:hangingChars="2250" w:hanging="6300"/>
        <w:rPr>
          <w:rFonts w:ascii="创艺简标宋" w:eastAsia="创艺简标宋" w:hAnsi="创艺简标宋" w:cs="创艺简标宋"/>
          <w:sz w:val="36"/>
          <w:szCs w:val="36"/>
        </w:rPr>
      </w:pPr>
      <w:r>
        <w:rPr>
          <w:rFonts w:ascii="宋体" w:hAnsi="宋体" w:hint="eastAsia"/>
          <w:sz w:val="28"/>
          <w:szCs w:val="28"/>
        </w:rPr>
        <w:t xml:space="preserve">                              </w:t>
      </w:r>
      <w:r>
        <w:rPr>
          <w:rFonts w:ascii="创艺简标宋" w:eastAsia="创艺简标宋" w:hAnsi="创艺简标宋" w:cs="创艺简标宋" w:hint="eastAsia"/>
          <w:sz w:val="28"/>
          <w:szCs w:val="28"/>
        </w:rPr>
        <w:t xml:space="preserve">   </w:t>
      </w:r>
      <w:r>
        <w:rPr>
          <w:rFonts w:ascii="创艺简标宋" w:eastAsia="创艺简标宋" w:hAnsi="创艺简标宋" w:cs="创艺简标宋" w:hint="eastAsia"/>
          <w:sz w:val="36"/>
          <w:szCs w:val="36"/>
        </w:rPr>
        <w:t>大亚湾经济技术开发区</w:t>
      </w:r>
    </w:p>
    <w:p w:rsidR="00C116BA" w:rsidRDefault="00103432">
      <w:pPr>
        <w:rPr>
          <w:rFonts w:ascii="创艺简标宋" w:eastAsia="创艺简标宋" w:hAnsi="创艺简标宋" w:cs="创艺简标宋"/>
          <w:sz w:val="52"/>
          <w:szCs w:val="52"/>
        </w:rPr>
      </w:pPr>
      <w:r>
        <w:rPr>
          <w:rFonts w:ascii="创艺简标宋" w:eastAsia="创艺简标宋" w:hAnsi="创艺简标宋" w:cs="创艺简标宋" w:hint="eastAsia"/>
          <w:sz w:val="72"/>
          <w:szCs w:val="72"/>
        </w:rPr>
        <w:t xml:space="preserve">    </w:t>
      </w:r>
      <w:r>
        <w:rPr>
          <w:rFonts w:ascii="创艺简标宋" w:eastAsia="创艺简标宋" w:hAnsi="创艺简标宋" w:cs="创艺简标宋" w:hint="eastAsia"/>
          <w:sz w:val="52"/>
          <w:szCs w:val="52"/>
        </w:rPr>
        <w:t xml:space="preserve">          环境质量状况公报</w:t>
      </w:r>
    </w:p>
    <w:p w:rsidR="00C116BA" w:rsidRDefault="00103432">
      <w:pPr>
        <w:ind w:left="6300" w:hangingChars="2250" w:hanging="6300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>
        <w:rPr>
          <w:rFonts w:ascii="宋体" w:hAnsi="宋体" w:hint="eastAsia"/>
          <w:sz w:val="36"/>
          <w:szCs w:val="36"/>
        </w:rPr>
        <w:t xml:space="preserve">          </w:t>
      </w:r>
    </w:p>
    <w:p w:rsidR="00C116BA" w:rsidRDefault="00C116BA" w:rsidP="00DB65C7">
      <w:pPr>
        <w:ind w:left="8132" w:hangingChars="2250" w:hanging="8132"/>
        <w:rPr>
          <w:rFonts w:ascii="宋体" w:hAnsi="宋体"/>
          <w:b/>
          <w:sz w:val="36"/>
          <w:szCs w:val="36"/>
        </w:rPr>
      </w:pPr>
    </w:p>
    <w:p w:rsidR="00C116BA" w:rsidRDefault="00C116BA" w:rsidP="00DB65C7">
      <w:pPr>
        <w:ind w:left="8132" w:hangingChars="2250" w:hanging="8132"/>
        <w:rPr>
          <w:rFonts w:ascii="宋体" w:hAnsi="宋体"/>
          <w:b/>
          <w:sz w:val="36"/>
          <w:szCs w:val="36"/>
        </w:rPr>
      </w:pPr>
    </w:p>
    <w:p w:rsidR="00C116BA" w:rsidRDefault="00C116BA">
      <w:pPr>
        <w:rPr>
          <w:rFonts w:ascii="宋体" w:hAnsi="宋体"/>
          <w:b/>
          <w:sz w:val="36"/>
          <w:szCs w:val="36"/>
        </w:rPr>
      </w:pPr>
    </w:p>
    <w:p w:rsidR="00C116BA" w:rsidRDefault="00C116BA">
      <w:pPr>
        <w:rPr>
          <w:rFonts w:ascii="宋体" w:hAnsi="宋体"/>
          <w:b/>
          <w:sz w:val="36"/>
          <w:szCs w:val="36"/>
        </w:rPr>
      </w:pPr>
    </w:p>
    <w:p w:rsidR="00C116BA" w:rsidRDefault="00C116BA">
      <w:pPr>
        <w:rPr>
          <w:rFonts w:ascii="宋体" w:hAnsi="宋体"/>
          <w:b/>
          <w:sz w:val="36"/>
          <w:szCs w:val="36"/>
        </w:rPr>
      </w:pPr>
    </w:p>
    <w:p w:rsidR="00C116BA" w:rsidRDefault="00C116BA">
      <w:pPr>
        <w:rPr>
          <w:rFonts w:ascii="宋体" w:hAnsi="宋体"/>
          <w:b/>
          <w:sz w:val="36"/>
          <w:szCs w:val="36"/>
        </w:rPr>
      </w:pPr>
    </w:p>
    <w:p w:rsidR="00C116BA" w:rsidRDefault="00C116BA">
      <w:pPr>
        <w:rPr>
          <w:rFonts w:ascii="宋体" w:hAnsi="宋体"/>
          <w:b/>
          <w:sz w:val="36"/>
          <w:szCs w:val="36"/>
        </w:rPr>
      </w:pPr>
    </w:p>
    <w:p w:rsidR="00C116BA" w:rsidRDefault="00103432" w:rsidP="00DB65C7">
      <w:pPr>
        <w:ind w:firstLineChars="300" w:firstLine="1084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惠州市生态环境局大亚湾经济技术开发区分局</w:t>
      </w:r>
    </w:p>
    <w:p w:rsidR="00C116BA" w:rsidRDefault="00103432" w:rsidP="00DB65C7">
      <w:pPr>
        <w:ind w:firstLineChars="896" w:firstLine="3238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二O二</w:t>
      </w:r>
      <w:r w:rsidR="004B2D5B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四</w:t>
      </w: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年</w:t>
      </w:r>
      <w:r w:rsidR="001669FC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五</w:t>
      </w: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月</w:t>
      </w:r>
    </w:p>
    <w:p w:rsidR="00C116BA" w:rsidRDefault="00C116BA" w:rsidP="00DB65C7">
      <w:pPr>
        <w:ind w:firstLineChars="796" w:firstLine="2877"/>
        <w:rPr>
          <w:rFonts w:ascii="仿宋_GB2312" w:eastAsia="仿宋_GB2312" w:hAnsi="仿宋_GB2312" w:cs="仿宋_GB2312"/>
          <w:b/>
          <w:bCs/>
          <w:sz w:val="36"/>
          <w:szCs w:val="36"/>
        </w:rPr>
      </w:pPr>
    </w:p>
    <w:p w:rsidR="00C116BA" w:rsidRDefault="00C116BA" w:rsidP="001669FC">
      <w:pPr>
        <w:spacing w:afterLines="300" w:line="360" w:lineRule="auto"/>
        <w:jc w:val="center"/>
        <w:outlineLvl w:val="0"/>
        <w:rPr>
          <w:rFonts w:ascii="仿宋_GB2312" w:eastAsia="仿宋_GB2312" w:hAnsi="仿宋_GB2312" w:cs="仿宋_GB2312"/>
          <w:b/>
          <w:bCs/>
          <w:sz w:val="30"/>
          <w:szCs w:val="30"/>
        </w:rPr>
      </w:pPr>
    </w:p>
    <w:p w:rsidR="00C116BA" w:rsidRDefault="00103432">
      <w:pPr>
        <w:jc w:val="center"/>
        <w:outlineLvl w:val="1"/>
        <w:rPr>
          <w:rFonts w:ascii="仿宋_GB2312" w:eastAsia="仿宋_GB2312" w:hAnsi="仿宋_GB2312" w:cs="仿宋_GB2312"/>
          <w:b/>
          <w:bCs/>
          <w:sz w:val="28"/>
          <w:szCs w:val="28"/>
        </w:rPr>
      </w:pPr>
      <w:bookmarkStart w:id="7" w:name="_Toc168279401"/>
      <w:bookmarkStart w:id="8" w:name="_Toc229881875"/>
      <w:bookmarkStart w:id="9" w:name="_Toc167634192"/>
      <w:bookmarkStart w:id="10" w:name="_Toc167634121"/>
      <w:bookmarkStart w:id="11" w:name="_Toc229881822"/>
      <w:bookmarkStart w:id="12" w:name="_Toc167634892"/>
      <w:bookmarkStart w:id="13" w:name="_Toc167634863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lastRenderedPageBreak/>
        <w:t>综述</w:t>
      </w:r>
    </w:p>
    <w:p w:rsidR="00C116BA" w:rsidRDefault="004B2D5B" w:rsidP="001669FC">
      <w:pPr>
        <w:spacing w:afterLines="300" w:line="360" w:lineRule="auto"/>
        <w:ind w:firstLine="615"/>
        <w:outlineLvl w:val="0"/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2023年</w:t>
      </w:r>
      <w:r w:rsidR="00103432">
        <w:rPr>
          <w:rStyle w:val="a7"/>
          <w:rFonts w:ascii="仿宋_GB2312" w:eastAsia="仿宋_GB2312" w:hAnsi="微软雅黑" w:cs="微软雅黑" w:hint="eastAsia"/>
          <w:b w:val="0"/>
          <w:sz w:val="28"/>
          <w:szCs w:val="28"/>
        </w:rPr>
        <w:t>空气质量优良率为</w:t>
      </w:r>
      <w:r w:rsidR="00225303">
        <w:rPr>
          <w:rFonts w:ascii="仿宋_GB2312" w:eastAsia="仿宋_GB2312" w:hAnsi="仿宋_GB2312" w:cs="仿宋_GB2312" w:hint="eastAsia"/>
          <w:sz w:val="28"/>
          <w:szCs w:val="28"/>
        </w:rPr>
        <w:t>99.5</w:t>
      </w:r>
      <w:r w:rsidR="00103432">
        <w:rPr>
          <w:rFonts w:ascii="仿宋_GB2312" w:eastAsia="仿宋_GB2312" w:hAnsi="仿宋_GB2312" w:cs="仿宋_GB2312" w:hint="eastAsia"/>
          <w:sz w:val="28"/>
          <w:szCs w:val="28"/>
        </w:rPr>
        <w:t>%，</w:t>
      </w:r>
      <w:r w:rsidR="00216307">
        <w:rPr>
          <w:rFonts w:ascii="仿宋_GB2312" w:eastAsia="仿宋_GB2312" w:hAnsi="仿宋_GB2312" w:cs="仿宋_GB2312" w:hint="eastAsia"/>
          <w:sz w:val="28"/>
        </w:rPr>
        <w:t>大亚湾区环境空气质量保持良好。风田水库、龙尾山水库、畲禾坑水库</w:t>
      </w:r>
      <w:r w:rsidR="00103432">
        <w:rPr>
          <w:rFonts w:ascii="仿宋_GB2312" w:eastAsia="仿宋_GB2312" w:hAnsi="仿宋_GB2312" w:cs="仿宋_GB2312" w:hint="eastAsia"/>
          <w:sz w:val="28"/>
        </w:rPr>
        <w:t>、石头河水库满足Ⅱ类标准，水库水质保持稳定；16条河流全部达到水功能区要求，达标率为100%。区域噪声和道路交通噪声满足《声环境质量标准》（GB3096-2008）标准要求。</w:t>
      </w:r>
    </w:p>
    <w:p w:rsidR="00C116BA" w:rsidRDefault="00103432">
      <w:pPr>
        <w:jc w:val="center"/>
        <w:outlineLvl w:val="1"/>
        <w:rPr>
          <w:rStyle w:val="a7"/>
          <w:rFonts w:ascii="仿宋_GB2312" w:eastAsia="仿宋_GB2312" w:hAnsi="仿宋_GB2312" w:cs="仿宋_GB2312"/>
          <w:bCs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环境</w:t>
      </w:r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ascii="仿宋_GB2312" w:eastAsia="仿宋_GB2312" w:hAnsi="仿宋_GB2312" w:cs="仿宋_GB2312" w:hint="eastAsia"/>
          <w:b/>
          <w:sz w:val="28"/>
          <w:szCs w:val="28"/>
        </w:rPr>
        <w:t>空气质量</w:t>
      </w:r>
      <w:bookmarkStart w:id="14" w:name="_Toc229881823"/>
      <w:bookmarkStart w:id="15" w:name="_Toc168279402"/>
      <w:bookmarkStart w:id="16" w:name="_Toc167634864"/>
      <w:bookmarkStart w:id="17" w:name="_Toc167634123"/>
      <w:bookmarkStart w:id="18" w:name="_Toc229881876"/>
      <w:bookmarkStart w:id="19" w:name="_Toc167634893"/>
      <w:bookmarkStart w:id="20" w:name="_Toc167634193"/>
    </w:p>
    <w:p w:rsidR="00C116BA" w:rsidRDefault="00103432">
      <w:pPr>
        <w:pStyle w:val="a6"/>
        <w:widowControl/>
        <w:spacing w:before="75" w:beforeAutospacing="0" w:after="75" w:afterAutospacing="0" w:line="315" w:lineRule="atLeast"/>
        <w:rPr>
          <w:rStyle w:val="a7"/>
          <w:rFonts w:ascii="仿宋_GB2312" w:eastAsia="仿宋_GB2312" w:hAnsi="微软雅黑" w:cs="微软雅黑"/>
          <w:sz w:val="28"/>
          <w:szCs w:val="28"/>
        </w:rPr>
      </w:pPr>
      <w:r>
        <w:rPr>
          <w:rStyle w:val="a7"/>
          <w:rFonts w:ascii="仿宋_GB2312" w:eastAsia="仿宋_GB2312" w:hAnsi="微软雅黑" w:cs="微软雅黑" w:hint="eastAsia"/>
          <w:b w:val="0"/>
          <w:sz w:val="21"/>
          <w:szCs w:val="21"/>
        </w:rPr>
        <w:t xml:space="preserve">      </w:t>
      </w:r>
      <w:r w:rsidR="004B2D5B">
        <w:rPr>
          <w:rStyle w:val="a7"/>
          <w:rFonts w:ascii="仿宋_GB2312" w:eastAsia="仿宋_GB2312" w:hAnsi="微软雅黑" w:cs="微软雅黑" w:hint="eastAsia"/>
          <w:b w:val="0"/>
          <w:sz w:val="28"/>
          <w:szCs w:val="28"/>
        </w:rPr>
        <w:t>2023年</w:t>
      </w:r>
      <w:r>
        <w:rPr>
          <w:rStyle w:val="a7"/>
          <w:rFonts w:ascii="仿宋_GB2312" w:eastAsia="仿宋_GB2312" w:hAnsi="微软雅黑" w:cs="微软雅黑" w:hint="eastAsia"/>
          <w:b w:val="0"/>
          <w:sz w:val="28"/>
          <w:szCs w:val="28"/>
        </w:rPr>
        <w:t>度，大亚湾区空气质量综合指数</w:t>
      </w:r>
      <w:r w:rsidR="000A5840">
        <w:rPr>
          <w:rStyle w:val="a7"/>
          <w:rFonts w:ascii="仿宋_GB2312" w:eastAsia="仿宋_GB2312" w:hAnsi="微软雅黑" w:cs="微软雅黑" w:hint="eastAsia"/>
          <w:b w:val="0"/>
          <w:sz w:val="28"/>
          <w:szCs w:val="28"/>
        </w:rPr>
        <w:t>2.50</w:t>
      </w:r>
      <w:r>
        <w:rPr>
          <w:rStyle w:val="a7"/>
          <w:rFonts w:ascii="仿宋_GB2312" w:eastAsia="仿宋_GB2312" w:hAnsi="微软雅黑" w:cs="微软雅黑" w:hint="eastAsia"/>
          <w:b w:val="0"/>
          <w:sz w:val="28"/>
          <w:szCs w:val="28"/>
        </w:rPr>
        <w:t>，空气质量优良率为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8"/>
        </w:rPr>
        <w:t>99.5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%，其中优比例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8"/>
        </w:rPr>
        <w:t>63.6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%，良比例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8"/>
        </w:rPr>
        <w:t>36.4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%，空气质量优天数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8"/>
        </w:rPr>
        <w:t>231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天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，良天数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132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天。其中，管委会国家空气质量监测站数据统计结果空气质量优良率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98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.8%，空气质量优天数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217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，良天数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126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天。霞涌国家空气质量监测站数据统计结果空气质量优良率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98.0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%，空气质量优天数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211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，良天数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126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 xml:space="preserve">天。 </w:t>
      </w:r>
    </w:p>
    <w:p w:rsidR="00C116BA" w:rsidRDefault="00103432">
      <w:pPr>
        <w:pStyle w:val="a6"/>
        <w:widowControl/>
        <w:spacing w:before="75" w:beforeAutospacing="0" w:after="75" w:afterAutospacing="0" w:line="315" w:lineRule="atLeast"/>
        <w:rPr>
          <w:rFonts w:ascii="仿宋_GB2312" w:eastAsia="仿宋_GB2312" w:hAnsi="仿宋_GB2312" w:cs="仿宋_GB2312"/>
          <w:kern w:val="2"/>
          <w:sz w:val="28"/>
          <w:szCs w:val="20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 xml:space="preserve">  </w:t>
      </w:r>
      <w:r w:rsidRPr="003B05B2">
        <w:rPr>
          <w:rFonts w:ascii="仿宋_GB2312" w:eastAsia="仿宋_GB2312" w:hAnsi="仿宋_GB2312" w:cs="仿宋_GB2312" w:hint="eastAsia"/>
          <w:color w:val="FF0000"/>
          <w:kern w:val="2"/>
          <w:sz w:val="28"/>
          <w:szCs w:val="20"/>
        </w:rPr>
        <w:t xml:space="preserve"> 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 xml:space="preserve"> </w:t>
      </w:r>
      <w:r w:rsidR="004B2D5B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2023年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，大亚湾区空气质量优良率同比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2022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年上升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3.9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%，综合指数</w:t>
      </w:r>
      <w:r w:rsidR="00AC1E4F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上升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3.3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%。SO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  <w:vertAlign w:val="subscript"/>
        </w:rPr>
        <w:t>2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、NO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  <w:vertAlign w:val="subscript"/>
        </w:rPr>
        <w:t>2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、PM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  <w:vertAlign w:val="subscript"/>
        </w:rPr>
        <w:t>10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、PM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  <w:vertAlign w:val="subscript"/>
        </w:rPr>
        <w:t>2.5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浓度分别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上升25.0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%、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20.0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%、1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3.8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%、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6.3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%，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O</w:t>
      </w:r>
      <w:r w:rsidR="00433F03" w:rsidRPr="00FA70CF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  <w:vertAlign w:val="subscript"/>
        </w:rPr>
        <w:t>3</w:t>
      </w:r>
      <w:r w:rsidR="00433F03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下降9.7%，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CO浓度</w:t>
      </w:r>
      <w:r w:rsidR="000E65D6"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持平</w:t>
      </w:r>
      <w:r w:rsidRPr="000E65D6"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0"/>
        </w:rPr>
        <w:t>。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大亚湾区空气质量整体保持良好，在惠州市排名第</w:t>
      </w:r>
      <w:r w:rsidR="000A5840">
        <w:rPr>
          <w:rFonts w:ascii="仿宋_GB2312" w:eastAsia="仿宋_GB2312" w:hAnsi="仿宋_GB2312" w:cs="仿宋_GB2312" w:hint="eastAsia"/>
          <w:kern w:val="2"/>
          <w:sz w:val="28"/>
          <w:szCs w:val="20"/>
        </w:rPr>
        <w:t>2</w:t>
      </w:r>
      <w:r>
        <w:rPr>
          <w:rFonts w:ascii="仿宋_GB2312" w:eastAsia="仿宋_GB2312" w:hAnsi="仿宋_GB2312" w:cs="仿宋_GB2312" w:hint="eastAsia"/>
          <w:kern w:val="2"/>
          <w:sz w:val="28"/>
          <w:szCs w:val="20"/>
        </w:rPr>
        <w:t>。</w:t>
      </w:r>
    </w:p>
    <w:p w:rsidR="00C116BA" w:rsidRDefault="00C116BA">
      <w:pPr>
        <w:pStyle w:val="a6"/>
        <w:widowControl/>
        <w:spacing w:before="75" w:beforeAutospacing="0" w:after="75" w:afterAutospacing="0" w:line="315" w:lineRule="atLeast"/>
        <w:rPr>
          <w:rFonts w:ascii="仿宋_GB2312" w:eastAsia="仿宋_GB2312" w:hAnsi="仿宋_GB2312" w:cs="仿宋_GB2312"/>
          <w:sz w:val="28"/>
          <w:szCs w:val="28"/>
        </w:rPr>
      </w:pPr>
    </w:p>
    <w:p w:rsidR="00C116BA" w:rsidRDefault="00C116BA">
      <w:pPr>
        <w:pStyle w:val="a6"/>
        <w:widowControl/>
        <w:spacing w:before="75" w:beforeAutospacing="0" w:after="75" w:afterAutospacing="0" w:line="315" w:lineRule="atLeast"/>
        <w:rPr>
          <w:rFonts w:ascii="仿宋_GB2312" w:eastAsia="仿宋_GB2312" w:hAnsi="仿宋_GB2312" w:cs="仿宋_GB2312"/>
          <w:sz w:val="28"/>
          <w:szCs w:val="28"/>
        </w:rPr>
      </w:pPr>
    </w:p>
    <w:p w:rsidR="00C116BA" w:rsidRDefault="00C116BA">
      <w:pPr>
        <w:pStyle w:val="a6"/>
        <w:widowControl/>
        <w:spacing w:before="75" w:beforeAutospacing="0" w:after="75" w:afterAutospacing="0" w:line="315" w:lineRule="atLeast"/>
        <w:rPr>
          <w:rFonts w:ascii="仿宋_GB2312" w:eastAsia="仿宋_GB2312" w:hAnsi="仿宋_GB2312" w:cs="仿宋_GB2312"/>
          <w:sz w:val="28"/>
          <w:szCs w:val="28"/>
        </w:rPr>
      </w:pPr>
    </w:p>
    <w:p w:rsidR="00C116BA" w:rsidRDefault="00C116BA">
      <w:pPr>
        <w:pStyle w:val="a6"/>
        <w:widowControl/>
        <w:spacing w:before="75" w:beforeAutospacing="0" w:after="75" w:afterAutospacing="0" w:line="315" w:lineRule="atLeast"/>
        <w:rPr>
          <w:rFonts w:ascii="仿宋_GB2312" w:eastAsia="仿宋_GB2312" w:hAnsi="仿宋_GB2312" w:cs="仿宋_GB2312"/>
          <w:sz w:val="28"/>
          <w:szCs w:val="28"/>
        </w:rPr>
      </w:pPr>
    </w:p>
    <w:p w:rsidR="00C116BA" w:rsidRDefault="00103432">
      <w:pPr>
        <w:pStyle w:val="a6"/>
        <w:widowControl/>
        <w:spacing w:before="75" w:beforeAutospacing="0" w:after="75" w:afterAutospacing="0" w:line="315" w:lineRule="atLeast"/>
        <w:rPr>
          <w:rFonts w:ascii="宋体" w:hAnsi="宋体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监测结果及变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化趋势见表1、图1。</w:t>
      </w:r>
    </w:p>
    <w:p w:rsidR="00C116BA" w:rsidRDefault="00103432">
      <w:pPr>
        <w:spacing w:line="240" w:lineRule="atLeast"/>
        <w:jc w:val="center"/>
        <w:rPr>
          <w:rFonts w:ascii="仿宋_GB2312" w:eastAsia="仿宋_GB2312" w:hAnsi="仿宋_GB2312" w:cs="仿宋_GB2312"/>
          <w:b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 xml:space="preserve">   表1  大亚湾区</w:t>
      </w:r>
      <w:r w:rsidR="004B2D5B">
        <w:rPr>
          <w:rFonts w:ascii="仿宋_GB2312" w:eastAsia="仿宋_GB2312" w:hAnsi="仿宋_GB2312" w:cs="仿宋_GB2312" w:hint="eastAsia"/>
          <w:b/>
          <w:sz w:val="24"/>
          <w:szCs w:val="24"/>
        </w:rPr>
        <w:t>2023年</w:t>
      </w:r>
      <w:r>
        <w:rPr>
          <w:rFonts w:ascii="仿宋_GB2312" w:eastAsia="仿宋_GB2312" w:hAnsi="仿宋_GB2312" w:cs="仿宋_GB2312" w:hint="eastAsia"/>
          <w:b/>
          <w:sz w:val="24"/>
          <w:szCs w:val="24"/>
        </w:rPr>
        <w:t>大气污染物监测结果（mg/m</w:t>
      </w:r>
      <w:r>
        <w:rPr>
          <w:rFonts w:ascii="仿宋_GB2312" w:eastAsia="仿宋_GB2312" w:hAnsi="仿宋_GB2312" w:cs="仿宋_GB2312" w:hint="eastAsia"/>
          <w:b/>
          <w:sz w:val="24"/>
          <w:szCs w:val="24"/>
          <w:vertAlign w:val="superscript"/>
        </w:rPr>
        <w:t>3</w:t>
      </w:r>
      <w:r>
        <w:rPr>
          <w:rFonts w:ascii="仿宋_GB2312" w:eastAsia="仿宋_GB2312" w:hAnsi="仿宋_GB2312" w:cs="仿宋_GB2312" w:hint="eastAsia"/>
          <w:b/>
          <w:sz w:val="24"/>
          <w:szCs w:val="24"/>
        </w:rPr>
        <w:t>）</w:t>
      </w:r>
    </w:p>
    <w:tbl>
      <w:tblPr>
        <w:tblpPr w:leftFromText="180" w:rightFromText="180" w:vertAnchor="text" w:horzAnchor="margin" w:tblpXSpec="center" w:tblpY="99"/>
        <w:tblOverlap w:val="never"/>
        <w:tblW w:w="7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992"/>
        <w:gridCol w:w="1143"/>
        <w:gridCol w:w="840"/>
        <w:gridCol w:w="887"/>
        <w:gridCol w:w="894"/>
        <w:gridCol w:w="960"/>
      </w:tblGrid>
      <w:tr w:rsidR="00C116BA">
        <w:trPr>
          <w:trHeight w:val="613"/>
        </w:trPr>
        <w:tc>
          <w:tcPr>
            <w:tcW w:w="1951" w:type="dxa"/>
            <w:tcBorders>
              <w:tl2br w:val="single" w:sz="4" w:space="0" w:color="auto"/>
            </w:tcBorders>
            <w:vAlign w:val="center"/>
          </w:tcPr>
          <w:p w:rsidR="00C116BA" w:rsidRDefault="0032632E">
            <w:pPr>
              <w:rPr>
                <w:rFonts w:ascii="仿宋_GB2312" w:eastAsia="仿宋_GB2312" w:hAnsi="仿宋_GB2312" w:cs="仿宋_GB2312"/>
              </w:rPr>
            </w:pPr>
            <w:bookmarkStart w:id="21" w:name="OLE_LINK2"/>
            <w:bookmarkStart w:id="22" w:name="OLE_LINK1"/>
            <w:bookmarkStart w:id="23" w:name="OLE_LINK3"/>
            <w:r w:rsidRPr="0032632E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2" o:spid="_x0000_s1027" type="#_x0000_t202" style="position:absolute;left:0;text-align:left;margin-left:.6pt;margin-top:10.5pt;width:43.45pt;height:22.8pt;z-index:251657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" filled="f" stroked="f">
                  <v:path arrowok="t"/>
                  <v:textbox style="mso-fit-shape-to-text:t">
                    <w:txbxContent>
                      <w:p w:rsidR="00C116BA" w:rsidRDefault="00103432">
                        <w:pPr>
                          <w:rPr>
                            <w:rFonts w:ascii="仿宋_GB2312" w:eastAsia="仿宋_GB2312" w:hAnsi="仿宋_GB2312" w:cs="仿宋_GB2312"/>
                          </w:rPr>
                        </w:pPr>
                        <w:r>
                          <w:rPr>
                            <w:rFonts w:ascii="仿宋_GB2312" w:eastAsia="仿宋_GB2312" w:hAnsi="仿宋_GB2312" w:cs="仿宋_GB2312" w:hint="eastAsia"/>
                          </w:rPr>
                          <w:t>年度</w:t>
                        </w:r>
                      </w:p>
                    </w:txbxContent>
                  </v:textbox>
                </v:shape>
              </w:pict>
            </w:r>
            <w:r w:rsidR="00103432">
              <w:rPr>
                <w:rFonts w:ascii="仿宋_GB2312" w:eastAsia="仿宋_GB2312" w:hAnsi="仿宋_GB2312" w:cs="仿宋_GB2312" w:hint="eastAsia"/>
              </w:rPr>
              <w:t xml:space="preserve">        项目</w:t>
            </w:r>
          </w:p>
          <w:p w:rsidR="00C116BA" w:rsidRDefault="00C116BA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SO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43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NO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40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CO</w:t>
            </w:r>
          </w:p>
        </w:tc>
        <w:tc>
          <w:tcPr>
            <w:tcW w:w="887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O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94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PM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960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PM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vertAlign w:val="subscript"/>
              </w:rPr>
              <w:t>2.5</w:t>
            </w:r>
          </w:p>
        </w:tc>
      </w:tr>
      <w:tr w:rsidR="00C116BA">
        <w:trPr>
          <w:trHeight w:val="436"/>
        </w:trPr>
        <w:tc>
          <w:tcPr>
            <w:tcW w:w="1951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</w:t>
            </w:r>
            <w:r w:rsidR="003B05B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C116BA" w:rsidRDefault="0010343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0.00</w:t>
            </w:r>
            <w:r w:rsidR="003B05B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</w:t>
            </w:r>
          </w:p>
        </w:tc>
        <w:tc>
          <w:tcPr>
            <w:tcW w:w="1143" w:type="dxa"/>
            <w:vAlign w:val="center"/>
          </w:tcPr>
          <w:p w:rsidR="00C116BA" w:rsidRDefault="0010343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0.01</w:t>
            </w:r>
            <w:r w:rsidR="003B05B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8</w:t>
            </w:r>
          </w:p>
        </w:tc>
        <w:tc>
          <w:tcPr>
            <w:tcW w:w="840" w:type="dxa"/>
            <w:vAlign w:val="center"/>
          </w:tcPr>
          <w:p w:rsidR="00C116BA" w:rsidRDefault="0010343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0.8</w:t>
            </w:r>
          </w:p>
        </w:tc>
        <w:tc>
          <w:tcPr>
            <w:tcW w:w="887" w:type="dxa"/>
            <w:vAlign w:val="center"/>
          </w:tcPr>
          <w:p w:rsidR="00C116BA" w:rsidRDefault="0010343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0.1</w:t>
            </w:r>
            <w:r w:rsidR="003B05B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30</w:t>
            </w:r>
          </w:p>
        </w:tc>
        <w:tc>
          <w:tcPr>
            <w:tcW w:w="894" w:type="dxa"/>
            <w:vAlign w:val="center"/>
          </w:tcPr>
          <w:p w:rsidR="00C116BA" w:rsidRDefault="0010343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</w:t>
            </w:r>
            <w:r w:rsidR="003B05B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33</w:t>
            </w:r>
          </w:p>
        </w:tc>
        <w:tc>
          <w:tcPr>
            <w:tcW w:w="960" w:type="dxa"/>
            <w:vAlign w:val="center"/>
          </w:tcPr>
          <w:p w:rsidR="00C116BA" w:rsidRDefault="0010343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0.01</w:t>
            </w:r>
            <w:r w:rsidR="003B05B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7</w:t>
            </w:r>
          </w:p>
        </w:tc>
      </w:tr>
      <w:tr w:rsidR="00C116BA">
        <w:trPr>
          <w:trHeight w:val="487"/>
        </w:trPr>
        <w:tc>
          <w:tcPr>
            <w:tcW w:w="1951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二级标准</w:t>
            </w:r>
          </w:p>
        </w:tc>
        <w:tc>
          <w:tcPr>
            <w:tcW w:w="992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0.06</w:t>
            </w:r>
          </w:p>
        </w:tc>
        <w:tc>
          <w:tcPr>
            <w:tcW w:w="1143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0.04</w:t>
            </w:r>
          </w:p>
        </w:tc>
        <w:tc>
          <w:tcPr>
            <w:tcW w:w="840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887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0.160</w:t>
            </w:r>
          </w:p>
        </w:tc>
        <w:tc>
          <w:tcPr>
            <w:tcW w:w="894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0.070</w:t>
            </w:r>
          </w:p>
        </w:tc>
        <w:tc>
          <w:tcPr>
            <w:tcW w:w="960" w:type="dxa"/>
            <w:vAlign w:val="center"/>
          </w:tcPr>
          <w:p w:rsidR="00C116BA" w:rsidRDefault="00103432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0.035</w:t>
            </w:r>
          </w:p>
        </w:tc>
      </w:tr>
    </w:tbl>
    <w:p w:rsidR="00C116BA" w:rsidRDefault="0032632E">
      <w:pPr>
        <w:rPr>
          <w:rFonts w:ascii="仿宋_GB2312" w:eastAsia="仿宋_GB2312" w:hAnsi="仿宋_GB2312" w:cs="仿宋_GB2312"/>
          <w:b/>
          <w:sz w:val="24"/>
          <w:szCs w:val="24"/>
        </w:rPr>
      </w:pPr>
      <w:bookmarkStart w:id="24" w:name="_Toc167634122"/>
      <w:bookmarkEnd w:id="21"/>
      <w:bookmarkEnd w:id="22"/>
      <w:bookmarkEnd w:id="23"/>
      <w:r w:rsidRPr="0032632E">
        <w:pict>
          <v:shape id="文本框 11" o:spid="_x0000_s1026" type="#_x0000_t202" style="position:absolute;left:0;text-align:left;margin-left:90.85pt;margin-top:3.8pt;width:23.45pt;height:22.8pt;z-index:251658752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" filled="f" stroked="f">
            <v:path arrowok="t"/>
            <v:textbox style="mso-fit-shape-to-text:t">
              <w:txbxContent>
                <w:p w:rsidR="00C116BA" w:rsidRDefault="00C116BA"/>
              </w:txbxContent>
            </v:textbox>
          </v:shape>
        </w:pict>
      </w:r>
    </w:p>
    <w:p w:rsidR="00C116BA" w:rsidRDefault="00103432">
      <w:pPr>
        <w:rPr>
          <w:rFonts w:ascii="仿宋_GB2312" w:eastAsia="仿宋_GB2312" w:hAnsi="仿宋_GB2312" w:cs="仿宋_GB2312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>备注：</w:t>
      </w:r>
      <w:r>
        <w:rPr>
          <w:rFonts w:ascii="仿宋_GB2312" w:eastAsia="仿宋_GB2312" w:hAnsi="仿宋_GB2312" w:cs="仿宋_GB2312" w:hint="eastAsia"/>
          <w:sz w:val="24"/>
          <w:szCs w:val="24"/>
        </w:rPr>
        <w:t>SO</w:t>
      </w:r>
      <w:r>
        <w:rPr>
          <w:rFonts w:ascii="仿宋_GB2312" w:eastAsia="仿宋_GB2312" w:hAnsi="仿宋_GB2312" w:cs="仿宋_GB2312" w:hint="eastAsia"/>
          <w:bCs/>
          <w:sz w:val="28"/>
          <w:szCs w:val="28"/>
          <w:vertAlign w:val="subscript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4"/>
          <w:szCs w:val="24"/>
        </w:rPr>
        <w:t>NO</w:t>
      </w:r>
      <w:r>
        <w:rPr>
          <w:rFonts w:ascii="仿宋_GB2312" w:eastAsia="仿宋_GB2312" w:hAnsi="仿宋_GB2312" w:cs="仿宋_GB2312" w:hint="eastAsia"/>
          <w:sz w:val="24"/>
          <w:szCs w:val="24"/>
          <w:vertAlign w:val="subscript"/>
        </w:rPr>
        <w:t>2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</w:t>
      </w:r>
      <w:r>
        <w:rPr>
          <w:rFonts w:ascii="仿宋_GB2312" w:eastAsia="仿宋_GB2312" w:hAnsi="仿宋_GB2312" w:cs="仿宋_GB2312"/>
          <w:sz w:val="24"/>
          <w:szCs w:val="24"/>
        </w:rPr>
        <w:t>O</w:t>
      </w:r>
      <w:r>
        <w:rPr>
          <w:rFonts w:ascii="仿宋_GB2312" w:eastAsia="仿宋_GB2312" w:hAnsi="仿宋_GB2312" w:cs="仿宋_GB2312"/>
          <w:sz w:val="24"/>
          <w:szCs w:val="24"/>
          <w:vertAlign w:val="subscript"/>
        </w:rPr>
        <w:t>3</w:t>
      </w:r>
      <w:r>
        <w:rPr>
          <w:rFonts w:ascii="仿宋_GB2312" w:eastAsia="仿宋_GB2312" w:hAnsi="仿宋_GB2312" w:cs="仿宋_GB2312" w:hint="eastAsia"/>
          <w:sz w:val="24"/>
          <w:szCs w:val="24"/>
        </w:rPr>
        <w:t>、PM</w:t>
      </w:r>
      <w:r>
        <w:rPr>
          <w:rFonts w:ascii="仿宋_GB2312" w:eastAsia="仿宋_GB2312" w:hAnsi="仿宋_GB2312" w:cs="仿宋_GB2312" w:hint="eastAsia"/>
          <w:sz w:val="24"/>
          <w:szCs w:val="24"/>
          <w:vertAlign w:val="subscript"/>
        </w:rPr>
        <w:t>10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4"/>
          <w:szCs w:val="24"/>
        </w:rPr>
        <w:t>PM</w:t>
      </w:r>
      <w:r>
        <w:rPr>
          <w:rFonts w:ascii="仿宋_GB2312" w:eastAsia="仿宋_GB2312" w:hAnsi="仿宋_GB2312" w:cs="仿宋_GB2312" w:hint="eastAsia"/>
          <w:sz w:val="24"/>
          <w:szCs w:val="24"/>
          <w:vertAlign w:val="subscript"/>
        </w:rPr>
        <w:t>2.5</w:t>
      </w:r>
      <w:r>
        <w:rPr>
          <w:rFonts w:ascii="仿宋_GB2312" w:eastAsia="仿宋_GB2312" w:hAnsi="仿宋_GB2312" w:cs="仿宋_GB2312" w:hint="eastAsia"/>
          <w:bCs/>
          <w:sz w:val="24"/>
          <w:szCs w:val="24"/>
        </w:rPr>
        <w:t>为《环境空气质量标准》（GB3095-2012）年均值二级标准；</w:t>
      </w:r>
      <w:r>
        <w:rPr>
          <w:rFonts w:ascii="仿宋_GB2312" w:eastAsia="仿宋_GB2312" w:hAnsi="仿宋_GB2312" w:cs="仿宋_GB2312" w:hint="eastAsia"/>
          <w:sz w:val="24"/>
          <w:szCs w:val="24"/>
        </w:rPr>
        <w:t>CO为24小时均值标准</w:t>
      </w:r>
      <w:r>
        <w:rPr>
          <w:rFonts w:ascii="仿宋_GB2312" w:eastAsia="仿宋_GB2312" w:hAnsi="仿宋_GB2312" w:cs="仿宋_GB2312" w:hint="eastAsia"/>
          <w:bCs/>
          <w:sz w:val="24"/>
          <w:szCs w:val="24"/>
        </w:rPr>
        <w:t>。</w:t>
      </w:r>
    </w:p>
    <w:p w:rsidR="00C116BA" w:rsidRDefault="00433F03">
      <w:pPr>
        <w:jc w:val="center"/>
        <w:rPr>
          <w:rFonts w:ascii="仿宋_GB2312" w:eastAsia="仿宋_GB2312" w:hAnsi="仿宋_GB2312" w:cs="仿宋_GB2312"/>
          <w:bCs/>
          <w:sz w:val="24"/>
          <w:szCs w:val="24"/>
        </w:rPr>
      </w:pPr>
      <w:r w:rsidRPr="00433F03">
        <w:rPr>
          <w:rFonts w:ascii="仿宋_GB2312" w:eastAsia="仿宋_GB2312" w:hAnsi="仿宋_GB2312" w:cs="仿宋_GB2312"/>
          <w:bCs/>
          <w:noProof/>
          <w:sz w:val="24"/>
          <w:szCs w:val="24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11706</wp:posOffset>
            </wp:positionH>
            <wp:positionV relativeFrom="paragraph">
              <wp:posOffset>149171</wp:posOffset>
            </wp:positionV>
            <wp:extent cx="5493772" cy="2576222"/>
            <wp:effectExtent l="19050" t="0" r="11678" b="0"/>
            <wp:wrapNone/>
            <wp:docPr id="4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 w:rsidP="00433F03">
      <w:pPr>
        <w:rPr>
          <w:rFonts w:ascii="仿宋_GB2312" w:eastAsia="仿宋_GB2312" w:hAnsi="仿宋_GB2312" w:cs="仿宋_GB2312"/>
          <w:bCs/>
          <w:sz w:val="24"/>
          <w:szCs w:val="24"/>
        </w:rPr>
      </w:pPr>
    </w:p>
    <w:p w:rsidR="00433F03" w:rsidRDefault="00433F03">
      <w:pPr>
        <w:jc w:val="center"/>
        <w:rPr>
          <w:rFonts w:ascii="仿宋_GB2312" w:eastAsia="仿宋_GB2312" w:hAnsi="仿宋_GB2312" w:cs="仿宋_GB2312"/>
          <w:bCs/>
          <w:sz w:val="24"/>
          <w:szCs w:val="24"/>
        </w:rPr>
      </w:pPr>
    </w:p>
    <w:p w:rsidR="00C116BA" w:rsidRDefault="00103432">
      <w:pPr>
        <w:ind w:firstLineChars="800" w:firstLine="2240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图1  空气质量因子浓度变化趋势图</w:t>
      </w:r>
      <w:bookmarkEnd w:id="24"/>
    </w:p>
    <w:p w:rsidR="00C116BA" w:rsidRDefault="00C116BA" w:rsidP="00433F03">
      <w:pPr>
        <w:spacing w:line="360" w:lineRule="auto"/>
        <w:ind w:rightChars="-159" w:right="-334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103432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lastRenderedPageBreak/>
        <w:t>水环境</w:t>
      </w:r>
      <w:bookmarkEnd w:id="14"/>
      <w:bookmarkEnd w:id="15"/>
      <w:bookmarkEnd w:id="16"/>
      <w:bookmarkEnd w:id="17"/>
      <w:bookmarkEnd w:id="18"/>
      <w:bookmarkEnd w:id="19"/>
      <w:bookmarkEnd w:id="20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质量</w:t>
      </w:r>
    </w:p>
    <w:p w:rsidR="00C116BA" w:rsidRDefault="00103432" w:rsidP="00DB65C7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饮用水源</w:t>
      </w:r>
    </w:p>
    <w:p w:rsidR="00C116BA" w:rsidRDefault="00103432">
      <w:pPr>
        <w:pStyle w:val="a6"/>
        <w:widowControl/>
        <w:spacing w:before="75" w:beforeAutospacing="0" w:after="75" w:afterAutospacing="0" w:line="315" w:lineRule="atLeast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  </w:t>
      </w:r>
      <w:r w:rsidR="004B2D5B">
        <w:rPr>
          <w:rFonts w:ascii="仿宋_GB2312" w:eastAsia="仿宋_GB2312" w:hAnsi="仿宋_GB2312" w:cs="仿宋_GB2312" w:hint="eastAsia"/>
          <w:kern w:val="2"/>
          <w:sz w:val="28"/>
          <w:szCs w:val="28"/>
        </w:rPr>
        <w:t>2023年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，风田水库集中式饮用水水源地水质Ⅱ类，达标率为100%。与202</w:t>
      </w:r>
      <w:r w:rsidR="00216307">
        <w:rPr>
          <w:rFonts w:ascii="仿宋_GB2312" w:eastAsia="仿宋_GB2312" w:hAnsi="仿宋_GB2312" w:cs="仿宋_GB2312" w:hint="eastAsia"/>
          <w:kern w:val="2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年相比，水质保持稳定。</w:t>
      </w:r>
      <w:r>
        <w:rPr>
          <w:rFonts w:ascii="仿宋_GB2312" w:eastAsia="仿宋_GB2312" w:hAnsi="仿宋_GB2312" w:cs="仿宋_GB2312" w:hint="eastAsia"/>
          <w:sz w:val="28"/>
        </w:rPr>
        <w:t>龙尾山水库、畲禾坑水库、石头河水库等备用水源地水质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Ⅱ类，达标率为100%。与202</w:t>
      </w:r>
      <w:r w:rsidR="004B2D5B">
        <w:rPr>
          <w:rFonts w:ascii="仿宋_GB2312" w:eastAsia="仿宋_GB2312" w:hAnsi="仿宋_GB2312" w:cs="仿宋_GB2312" w:hint="eastAsia"/>
          <w:kern w:val="2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年相比，水质保持稳定。</w:t>
      </w:r>
    </w:p>
    <w:p w:rsidR="00C116BA" w:rsidRDefault="00103432" w:rsidP="00DB65C7">
      <w:pPr>
        <w:ind w:firstLineChars="200" w:firstLine="562"/>
        <w:rPr>
          <w:rFonts w:ascii="仿宋_GB2312" w:eastAsia="仿宋_GB2312" w:hAnsi="仿宋_GB2312" w:cs="仿宋_GB2312"/>
          <w:b/>
          <w:sz w:val="28"/>
          <w:szCs w:val="28"/>
        </w:rPr>
      </w:pPr>
      <w:bookmarkStart w:id="25" w:name="_Toc229881824"/>
      <w:bookmarkStart w:id="26" w:name="_Toc168279403"/>
      <w:bookmarkStart w:id="27" w:name="_Toc229881877"/>
      <w:r>
        <w:rPr>
          <w:rFonts w:ascii="仿宋_GB2312" w:eastAsia="仿宋_GB2312" w:hAnsi="仿宋_GB2312" w:cs="仿宋_GB2312" w:hint="eastAsia"/>
          <w:b/>
          <w:sz w:val="28"/>
          <w:szCs w:val="28"/>
        </w:rPr>
        <w:t>地表河流</w:t>
      </w:r>
    </w:p>
    <w:p w:rsidR="00C116BA" w:rsidRDefault="004B2D5B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bookmarkStart w:id="28" w:name="_Toc167634865"/>
      <w:bookmarkStart w:id="29" w:name="_Toc167634194"/>
      <w:bookmarkStart w:id="30" w:name="_Toc167634124"/>
      <w:bookmarkStart w:id="31" w:name="_Toc167634894"/>
      <w:r>
        <w:rPr>
          <w:rFonts w:ascii="仿宋_GB2312" w:eastAsia="仿宋_GB2312" w:hAnsi="仿宋_GB2312" w:cs="仿宋_GB2312" w:hint="eastAsia"/>
          <w:sz w:val="28"/>
          <w:szCs w:val="28"/>
        </w:rPr>
        <w:t>2023年</w:t>
      </w:r>
      <w:r w:rsidR="00103432">
        <w:rPr>
          <w:rFonts w:ascii="仿宋_GB2312" w:eastAsia="仿宋_GB2312" w:hAnsi="仿宋_GB2312" w:cs="仿宋_GB2312" w:hint="eastAsia"/>
          <w:sz w:val="28"/>
          <w:szCs w:val="28"/>
        </w:rPr>
        <w:t>，大亚湾区内坪山河、淡澳河、响水河、柏岗河、岩前河、南边灶河、石头河、苏埔河、妈庙河、澳背河、晓联河、大胜河、青龙河、下沙河、养公坑河、南坑河等16条主要河流进行了常规监测，监测频次为：12次/年。</w:t>
      </w:r>
    </w:p>
    <w:p w:rsidR="00C116BA" w:rsidRDefault="00103432">
      <w:pPr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16条河流中，南边灶河、柏岗河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、岩前河、苏埔河</w:t>
      </w:r>
      <w:r>
        <w:rPr>
          <w:rFonts w:ascii="仿宋_GB2312" w:eastAsia="仿宋_GB2312" w:hAnsi="仿宋_GB2312" w:cs="仿宋_GB2312" w:hint="eastAsia"/>
          <w:sz w:val="28"/>
          <w:szCs w:val="28"/>
        </w:rPr>
        <w:t>水质为Ⅱ类；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石头河、响水河、澳背河、晓联河、淡澳河</w:t>
      </w:r>
      <w:r>
        <w:rPr>
          <w:rFonts w:ascii="仿宋_GB2312" w:eastAsia="仿宋_GB2312" w:hAnsi="仿宋_GB2312" w:cs="仿宋_GB2312" w:hint="eastAsia"/>
          <w:sz w:val="28"/>
          <w:szCs w:val="28"/>
        </w:rPr>
        <w:t>、坪山河龙海一路断面、大胜河、下沙河、养公坑河、南坑河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、青龙河</w:t>
      </w:r>
      <w:r>
        <w:rPr>
          <w:rFonts w:ascii="仿宋_GB2312" w:eastAsia="仿宋_GB2312" w:hAnsi="仿宋_GB2312" w:cs="仿宋_GB2312" w:hint="eastAsia"/>
          <w:sz w:val="28"/>
          <w:szCs w:val="28"/>
        </w:rPr>
        <w:t>等水质为Ⅲ类；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妈庙河</w:t>
      </w:r>
      <w:r>
        <w:rPr>
          <w:rFonts w:ascii="仿宋_GB2312" w:eastAsia="仿宋_GB2312" w:hAnsi="仿宋_GB2312" w:cs="仿宋_GB2312" w:hint="eastAsia"/>
          <w:sz w:val="28"/>
          <w:szCs w:val="28"/>
        </w:rPr>
        <w:t>水质为IV类,水环境质量均满足相应的水环境功能区要求。</w:t>
      </w: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103432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lastRenderedPageBreak/>
        <w:t>声环境</w:t>
      </w:r>
      <w:bookmarkEnd w:id="28"/>
      <w:bookmarkEnd w:id="29"/>
      <w:bookmarkEnd w:id="30"/>
      <w:bookmarkEnd w:id="31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质量</w:t>
      </w:r>
    </w:p>
    <w:p w:rsidR="00C116BA" w:rsidRDefault="00103432" w:rsidP="00DB65C7">
      <w:pPr>
        <w:spacing w:line="360" w:lineRule="auto"/>
        <w:ind w:rightChars="-159" w:right="-334" w:firstLineChars="200" w:firstLine="562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区域噪声</w:t>
      </w:r>
    </w:p>
    <w:p w:rsidR="00C116BA" w:rsidRDefault="00103432" w:rsidP="00E21624">
      <w:pPr>
        <w:spacing w:line="360" w:lineRule="auto"/>
        <w:ind w:rightChars="-159" w:right="-334"/>
        <w:jc w:val="left"/>
        <w:outlineLvl w:val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根据大亚湾区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2023年</w:t>
      </w:r>
      <w:r>
        <w:rPr>
          <w:rFonts w:ascii="仿宋_GB2312" w:eastAsia="仿宋_GB2312" w:hAnsi="仿宋_GB2312" w:cs="仿宋_GB2312" w:hint="eastAsia"/>
          <w:sz w:val="28"/>
          <w:szCs w:val="28"/>
        </w:rPr>
        <w:t>度城市定量考核和环境目标责任制考核要求，区域环境噪声布设72个监测点位，监测结果见表2。</w:t>
      </w:r>
    </w:p>
    <w:p w:rsidR="00C116BA" w:rsidRDefault="00103432" w:rsidP="00DB65C7">
      <w:pPr>
        <w:spacing w:line="360" w:lineRule="auto"/>
        <w:ind w:rightChars="-159" w:right="-334"/>
        <w:jc w:val="center"/>
        <w:outlineLvl w:val="0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表2  区域环境噪声监测结果</w:t>
      </w:r>
    </w:p>
    <w:tbl>
      <w:tblPr>
        <w:tblW w:w="8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3"/>
        <w:gridCol w:w="1720"/>
        <w:gridCol w:w="1721"/>
        <w:gridCol w:w="1721"/>
        <w:gridCol w:w="1721"/>
      </w:tblGrid>
      <w:tr w:rsidR="00C116BA">
        <w:trPr>
          <w:trHeight w:val="728"/>
          <w:jc w:val="center"/>
        </w:trPr>
        <w:tc>
          <w:tcPr>
            <w:tcW w:w="1533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项目</w:t>
            </w:r>
          </w:p>
        </w:tc>
        <w:tc>
          <w:tcPr>
            <w:tcW w:w="1720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网格规格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米×米</w:t>
            </w:r>
          </w:p>
        </w:tc>
        <w:tc>
          <w:tcPr>
            <w:tcW w:w="1721" w:type="dxa"/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监测点数</w:t>
            </w:r>
          </w:p>
        </w:tc>
        <w:tc>
          <w:tcPr>
            <w:tcW w:w="1721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等效声级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变化范围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dB（A）</w:t>
            </w:r>
          </w:p>
        </w:tc>
        <w:tc>
          <w:tcPr>
            <w:tcW w:w="1721" w:type="dxa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等效声级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均值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dB（A）</w:t>
            </w:r>
          </w:p>
        </w:tc>
      </w:tr>
      <w:tr w:rsidR="00C116BA">
        <w:trPr>
          <w:trHeight w:val="485"/>
          <w:jc w:val="center"/>
        </w:trPr>
        <w:tc>
          <w:tcPr>
            <w:tcW w:w="1533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区域噪声</w:t>
            </w:r>
          </w:p>
        </w:tc>
        <w:tc>
          <w:tcPr>
            <w:tcW w:w="1720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800×800</w:t>
            </w:r>
          </w:p>
        </w:tc>
        <w:tc>
          <w:tcPr>
            <w:tcW w:w="1721" w:type="dxa"/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72</w:t>
            </w:r>
          </w:p>
        </w:tc>
        <w:tc>
          <w:tcPr>
            <w:tcW w:w="1721" w:type="dxa"/>
            <w:tcMar>
              <w:left w:w="11" w:type="dxa"/>
              <w:right w:w="11" w:type="dxa"/>
            </w:tcMar>
            <w:vAlign w:val="center"/>
          </w:tcPr>
          <w:p w:rsidR="00C116BA" w:rsidRDefault="00103432" w:rsidP="001D2707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  <w:r w:rsidR="001D2707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.</w:t>
            </w:r>
            <w:r w:rsidR="001D2707">
              <w:rPr>
                <w:rFonts w:ascii="仿宋_GB2312" w:eastAsia="仿宋_GB2312" w:hAnsi="宋体" w:hint="eastAsia"/>
                <w:sz w:val="24"/>
              </w:rPr>
              <w:t>5</w:t>
            </w:r>
            <w:r>
              <w:rPr>
                <w:rFonts w:ascii="仿宋_GB2312" w:eastAsia="仿宋_GB2312" w:hAnsi="宋体" w:hint="eastAsia"/>
                <w:sz w:val="24"/>
              </w:rPr>
              <w:t>-</w:t>
            </w:r>
            <w:r w:rsidR="001D2707">
              <w:rPr>
                <w:rFonts w:ascii="仿宋_GB2312" w:eastAsia="仿宋_GB2312" w:hAnsi="宋体" w:hint="eastAsia"/>
                <w:sz w:val="24"/>
              </w:rPr>
              <w:t>58.3</w:t>
            </w:r>
          </w:p>
        </w:tc>
        <w:tc>
          <w:tcPr>
            <w:tcW w:w="1721" w:type="dxa"/>
            <w:vAlign w:val="center"/>
          </w:tcPr>
          <w:p w:rsidR="00C116BA" w:rsidRDefault="001D2707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55.8</w:t>
            </w:r>
          </w:p>
        </w:tc>
      </w:tr>
    </w:tbl>
    <w:p w:rsidR="00C116BA" w:rsidRDefault="00103432" w:rsidP="00DB65C7">
      <w:pPr>
        <w:ind w:firstLineChars="150" w:firstLine="422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交通噪声</w:t>
      </w:r>
    </w:p>
    <w:p w:rsidR="00C116BA" w:rsidRDefault="00103432">
      <w:pPr>
        <w:ind w:firstLineChars="150" w:firstLine="420"/>
        <w:rPr>
          <w:rFonts w:ascii="仿宋_GB2312" w:eastAsia="仿宋_GB2312" w:hAnsi="Arial Unicode MS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根据大亚湾区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2023年</w:t>
      </w:r>
      <w:r>
        <w:rPr>
          <w:rFonts w:ascii="仿宋_GB2312" w:eastAsia="仿宋_GB2312" w:hAnsi="仿宋_GB2312" w:cs="仿宋_GB2312" w:hint="eastAsia"/>
          <w:sz w:val="28"/>
          <w:szCs w:val="28"/>
        </w:rPr>
        <w:t>度城市定量考核和环境目标责任制考核要求，交通噪声布设16个监测点位，监测结果见表3。</w:t>
      </w:r>
    </w:p>
    <w:p w:rsidR="00C116BA" w:rsidRDefault="00C116BA">
      <w:pPr>
        <w:jc w:val="center"/>
        <w:rPr>
          <w:rFonts w:ascii="仿宋_GB2312" w:eastAsia="仿宋_GB2312" w:hAnsi="Arial Unicode MS"/>
          <w:b/>
          <w:bCs/>
          <w:sz w:val="28"/>
          <w:szCs w:val="28"/>
        </w:rPr>
      </w:pPr>
    </w:p>
    <w:p w:rsidR="00C116BA" w:rsidRDefault="00103432">
      <w:pPr>
        <w:jc w:val="center"/>
        <w:rPr>
          <w:rFonts w:ascii="仿宋_GB2312" w:eastAsia="仿宋_GB2312" w:hAnsi="Arial Unicode MS"/>
          <w:b/>
          <w:bCs/>
          <w:sz w:val="28"/>
          <w:szCs w:val="28"/>
        </w:rPr>
      </w:pPr>
      <w:r>
        <w:rPr>
          <w:rFonts w:ascii="仿宋_GB2312" w:eastAsia="仿宋_GB2312" w:hAnsi="Arial Unicode MS" w:hint="eastAsia"/>
          <w:b/>
          <w:bCs/>
          <w:sz w:val="28"/>
          <w:szCs w:val="28"/>
        </w:rPr>
        <w:t>表3  交通噪声监测结果</w:t>
      </w:r>
    </w:p>
    <w:tbl>
      <w:tblPr>
        <w:tblW w:w="8363" w:type="dxa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1"/>
        <w:gridCol w:w="951"/>
        <w:gridCol w:w="915"/>
        <w:gridCol w:w="1245"/>
        <w:gridCol w:w="1290"/>
        <w:gridCol w:w="1365"/>
        <w:gridCol w:w="1516"/>
      </w:tblGrid>
      <w:tr w:rsidR="00C116BA">
        <w:trPr>
          <w:trHeight w:val="1096"/>
        </w:trPr>
        <w:tc>
          <w:tcPr>
            <w:tcW w:w="1081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</w:t>
            </w:r>
          </w:p>
        </w:tc>
        <w:tc>
          <w:tcPr>
            <w:tcW w:w="951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监测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路段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（条）</w:t>
            </w:r>
          </w:p>
        </w:tc>
        <w:tc>
          <w:tcPr>
            <w:tcW w:w="915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ind w:rightChars="133" w:right="279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平均</w:t>
            </w:r>
          </w:p>
          <w:p w:rsidR="00C116BA" w:rsidRDefault="00103432">
            <w:pPr>
              <w:widowControl/>
              <w:ind w:rightChars="133" w:right="279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路宽</w:t>
            </w:r>
          </w:p>
          <w:p w:rsidR="00C116BA" w:rsidRDefault="00103432">
            <w:pPr>
              <w:widowControl/>
              <w:ind w:rightChars="133" w:right="279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（米）</w:t>
            </w:r>
          </w:p>
        </w:tc>
        <w:tc>
          <w:tcPr>
            <w:tcW w:w="1245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平均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路长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（米）</w:t>
            </w:r>
          </w:p>
        </w:tc>
        <w:tc>
          <w:tcPr>
            <w:tcW w:w="1290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平均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车流量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（辆/小时）</w:t>
            </w:r>
          </w:p>
        </w:tc>
        <w:tc>
          <w:tcPr>
            <w:tcW w:w="1365" w:type="dxa"/>
            <w:vAlign w:val="center"/>
          </w:tcPr>
          <w:p w:rsidR="00C116BA" w:rsidRDefault="00103432">
            <w:pPr>
              <w:widowControl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等效声级变化范围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dB（A）</w:t>
            </w:r>
          </w:p>
        </w:tc>
        <w:tc>
          <w:tcPr>
            <w:tcW w:w="1516" w:type="dxa"/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等效声级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加权均值</w:t>
            </w:r>
          </w:p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dB（A）</w:t>
            </w:r>
          </w:p>
        </w:tc>
      </w:tr>
      <w:tr w:rsidR="00C116BA">
        <w:trPr>
          <w:trHeight w:val="583"/>
        </w:trPr>
        <w:tc>
          <w:tcPr>
            <w:tcW w:w="1081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交通噪声</w:t>
            </w:r>
          </w:p>
        </w:tc>
        <w:tc>
          <w:tcPr>
            <w:tcW w:w="951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16</w:t>
            </w:r>
          </w:p>
        </w:tc>
        <w:tc>
          <w:tcPr>
            <w:tcW w:w="915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30.6</w:t>
            </w:r>
          </w:p>
        </w:tc>
        <w:tc>
          <w:tcPr>
            <w:tcW w:w="1245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1481</w:t>
            </w:r>
          </w:p>
        </w:tc>
        <w:tc>
          <w:tcPr>
            <w:tcW w:w="1290" w:type="dxa"/>
            <w:tcMar>
              <w:left w:w="11" w:type="dxa"/>
              <w:right w:w="11" w:type="dxa"/>
            </w:tcMar>
            <w:vAlign w:val="center"/>
          </w:tcPr>
          <w:p w:rsidR="00C116BA" w:rsidRDefault="0010343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742</w:t>
            </w:r>
          </w:p>
        </w:tc>
        <w:tc>
          <w:tcPr>
            <w:tcW w:w="1365" w:type="dxa"/>
            <w:vAlign w:val="center"/>
          </w:tcPr>
          <w:p w:rsidR="00C116BA" w:rsidRDefault="00103432" w:rsidP="001D2707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  <w:r w:rsidR="001D2707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.</w:t>
            </w:r>
            <w:r w:rsidR="001D2707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-6</w:t>
            </w:r>
            <w:r w:rsidR="001D2707">
              <w:rPr>
                <w:rFonts w:ascii="仿宋_GB2312" w:eastAsia="仿宋_GB2312" w:hAnsi="宋体" w:hint="eastAsia"/>
                <w:sz w:val="24"/>
              </w:rPr>
              <w:t>7.7</w:t>
            </w:r>
          </w:p>
        </w:tc>
        <w:tc>
          <w:tcPr>
            <w:tcW w:w="1516" w:type="dxa"/>
            <w:vAlign w:val="center"/>
          </w:tcPr>
          <w:p w:rsidR="00C116BA" w:rsidRDefault="001D2707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65.0</w:t>
            </w:r>
          </w:p>
        </w:tc>
      </w:tr>
    </w:tbl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C116BA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116BA" w:rsidRDefault="00103432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lastRenderedPageBreak/>
        <w:t>区域噪声、交通噪声变化趋势</w:t>
      </w:r>
    </w:p>
    <w:p w:rsidR="00C116BA" w:rsidRDefault="004B2D5B" w:rsidP="00DB65C7">
      <w:pPr>
        <w:ind w:firstLineChars="100" w:firstLine="281"/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/>
          <w:b/>
          <w:bCs/>
          <w:noProof/>
          <w:sz w:val="28"/>
          <w:szCs w:val="28"/>
        </w:rPr>
        <w:drawing>
          <wp:inline distT="0" distB="0" distL="0" distR="0">
            <wp:extent cx="4596765" cy="2767965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658" cy="2767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116BA" w:rsidRDefault="00103432">
      <w:pPr>
        <w:jc w:val="center"/>
        <w:rPr>
          <w:rFonts w:ascii="仿宋_GB2312" w:eastAsia="仿宋_GB2312" w:hAnsi="仿宋_GB2312" w:cs="仿宋_GB2312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图2  区域噪声、交通噪声变化趋势图</w:t>
      </w:r>
    </w:p>
    <w:p w:rsidR="00C116BA" w:rsidRDefault="00103432">
      <w:pPr>
        <w:ind w:firstLineChars="150"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2023年</w:t>
      </w:r>
      <w:r>
        <w:rPr>
          <w:rFonts w:ascii="仿宋_GB2312" w:eastAsia="仿宋_GB2312" w:hAnsi="仿宋_GB2312" w:cs="仿宋_GB2312" w:hint="eastAsia"/>
          <w:sz w:val="28"/>
          <w:szCs w:val="28"/>
        </w:rPr>
        <w:t>度，区域环境噪声等效声级平均值为5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5.8</w:t>
      </w:r>
      <w:r>
        <w:rPr>
          <w:rFonts w:ascii="仿宋_GB2312" w:eastAsia="仿宋_GB2312" w:hAnsi="仿宋_GB2312" w:cs="仿宋_GB2312" w:hint="eastAsia"/>
          <w:sz w:val="28"/>
          <w:szCs w:val="28"/>
        </w:rPr>
        <w:t>dB（A），满足《声环境质量标准》（GB3096-2008）2类60dB（A）(昼间)标准限值，与202</w:t>
      </w:r>
      <w:r w:rsidR="00EA7ED8">
        <w:rPr>
          <w:rFonts w:ascii="仿宋_GB2312" w:eastAsia="仿宋_GB2312" w:hAnsi="仿宋_GB2312" w:cs="仿宋_GB2312" w:hint="eastAsia"/>
          <w:sz w:val="28"/>
          <w:szCs w:val="28"/>
        </w:rPr>
        <w:t>2</w:t>
      </w:r>
      <w:bookmarkStart w:id="32" w:name="_GoBack"/>
      <w:bookmarkEnd w:id="32"/>
      <w:r>
        <w:rPr>
          <w:rFonts w:ascii="仿宋_GB2312" w:eastAsia="仿宋_GB2312" w:hAnsi="仿宋_GB2312" w:cs="仿宋_GB2312" w:hint="eastAsia"/>
          <w:sz w:val="28"/>
          <w:szCs w:val="28"/>
        </w:rPr>
        <w:t>年相比，区域声环境质量保持稳定；</w:t>
      </w:r>
      <w:r>
        <w:rPr>
          <w:rFonts w:ascii="仿宋_GB2312" w:eastAsia="仿宋_GB2312" w:hAnsi="仿宋_GB2312" w:cs="仿宋_GB2312" w:hint="eastAsia"/>
          <w:spacing w:val="6"/>
          <w:sz w:val="28"/>
          <w:szCs w:val="28"/>
        </w:rPr>
        <w:t>交通噪声等效声级平均值为6</w:t>
      </w:r>
      <w:r w:rsidR="004B2D5B">
        <w:rPr>
          <w:rFonts w:ascii="仿宋_GB2312" w:eastAsia="仿宋_GB2312" w:hAnsi="仿宋_GB2312" w:cs="仿宋_GB2312" w:hint="eastAsia"/>
          <w:spacing w:val="6"/>
          <w:sz w:val="28"/>
          <w:szCs w:val="28"/>
        </w:rPr>
        <w:t>5.0</w:t>
      </w:r>
      <w:r>
        <w:rPr>
          <w:rFonts w:ascii="仿宋_GB2312" w:eastAsia="仿宋_GB2312" w:hAnsi="仿宋_GB2312" w:cs="仿宋_GB2312" w:hint="eastAsia"/>
          <w:spacing w:val="6"/>
          <w:sz w:val="28"/>
          <w:szCs w:val="28"/>
        </w:rPr>
        <w:t>dB（A），</w:t>
      </w:r>
      <w:r>
        <w:rPr>
          <w:rFonts w:ascii="仿宋_GB2312" w:eastAsia="仿宋_GB2312" w:hAnsi="仿宋_GB2312" w:cs="仿宋_GB2312" w:hint="eastAsia"/>
          <w:sz w:val="28"/>
          <w:szCs w:val="28"/>
        </w:rPr>
        <w:t>满足《声环境质量标准》（GB3096-2008）4类70dB（A）(昼间)标准限值，与202</w:t>
      </w:r>
      <w:r w:rsidR="004B2D5B"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年相比，交通噪声无明显变化。</w:t>
      </w:r>
    </w:p>
    <w:p w:rsidR="00C116BA" w:rsidRDefault="00C116BA" w:rsidP="001669FC">
      <w:pPr>
        <w:spacing w:afterLines="300" w:line="360" w:lineRule="auto"/>
        <w:ind w:firstLineChars="1000" w:firstLine="3012"/>
        <w:outlineLvl w:val="0"/>
        <w:rPr>
          <w:rFonts w:ascii="仿宋_GB2312" w:eastAsia="仿宋_GB2312" w:hAnsi="仿宋_GB2312" w:cs="仿宋_GB2312"/>
          <w:b/>
          <w:bCs/>
          <w:sz w:val="30"/>
          <w:szCs w:val="30"/>
        </w:rPr>
      </w:pPr>
    </w:p>
    <w:bookmarkEnd w:id="25"/>
    <w:bookmarkEnd w:id="26"/>
    <w:bookmarkEnd w:id="27"/>
    <w:p w:rsidR="00C116BA" w:rsidRPr="004B2D5B" w:rsidRDefault="00C116BA" w:rsidP="0032632E">
      <w:pPr>
        <w:spacing w:beforeLines="100"/>
        <w:rPr>
          <w:rFonts w:ascii="仿宋_GB2312" w:eastAsia="仿宋_GB2312" w:hAnsi="仿宋_GB2312" w:cs="仿宋_GB2312"/>
          <w:color w:val="FF0000"/>
        </w:rPr>
      </w:pPr>
    </w:p>
    <w:sectPr w:rsidR="00C116BA" w:rsidRPr="004B2D5B" w:rsidSect="00C116BA">
      <w:footerReference w:type="even" r:id="rId11"/>
      <w:footerReference w:type="default" r:id="rId12"/>
      <w:pgSz w:w="11906" w:h="16838"/>
      <w:pgMar w:top="1418" w:right="1474" w:bottom="1418" w:left="1418" w:header="851" w:footer="992" w:gutter="284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210" w:rsidRDefault="00D20210" w:rsidP="00C116BA">
      <w:r>
        <w:separator/>
      </w:r>
    </w:p>
  </w:endnote>
  <w:endnote w:type="continuationSeparator" w:id="0">
    <w:p w:rsidR="00D20210" w:rsidRDefault="00D20210" w:rsidP="00C116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创艺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BA" w:rsidRDefault="0032632E">
    <w:pPr>
      <w:pStyle w:val="a4"/>
      <w:framePr w:wrap="around" w:vAnchor="text" w:hAnchor="margin" w:xAlign="center" w:y="1"/>
      <w:rPr>
        <w:rStyle w:val="10"/>
      </w:rPr>
    </w:pPr>
    <w:r>
      <w:fldChar w:fldCharType="begin"/>
    </w:r>
    <w:r w:rsidR="00103432">
      <w:rPr>
        <w:rStyle w:val="10"/>
      </w:rPr>
      <w:instrText xml:space="preserve">PAGE  </w:instrText>
    </w:r>
    <w:r>
      <w:fldChar w:fldCharType="separate"/>
    </w:r>
    <w:r w:rsidR="00103432">
      <w:rPr>
        <w:rStyle w:val="10"/>
      </w:rPr>
      <w:t>4</w:t>
    </w:r>
    <w:r>
      <w:fldChar w:fldCharType="end"/>
    </w:r>
  </w:p>
  <w:p w:rsidR="00C116BA" w:rsidRDefault="00C116B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BA" w:rsidRDefault="0032632E">
    <w:pPr>
      <w:pStyle w:val="a4"/>
      <w:framePr w:wrap="around" w:vAnchor="text" w:hAnchor="margin" w:xAlign="center" w:y="1"/>
      <w:rPr>
        <w:rStyle w:val="10"/>
      </w:rPr>
    </w:pPr>
    <w:r>
      <w:fldChar w:fldCharType="begin"/>
    </w:r>
    <w:r w:rsidR="00103432">
      <w:rPr>
        <w:rStyle w:val="10"/>
      </w:rPr>
      <w:instrText xml:space="preserve">PAGE  </w:instrText>
    </w:r>
    <w:r>
      <w:fldChar w:fldCharType="separate"/>
    </w:r>
    <w:r w:rsidR="001669FC">
      <w:rPr>
        <w:rStyle w:val="10"/>
        <w:noProof/>
      </w:rPr>
      <w:t>6</w:t>
    </w:r>
    <w:r>
      <w:fldChar w:fldCharType="end"/>
    </w:r>
  </w:p>
  <w:p w:rsidR="00C116BA" w:rsidRDefault="00C116B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210" w:rsidRDefault="00D20210" w:rsidP="00C116BA">
      <w:r>
        <w:separator/>
      </w:r>
    </w:p>
  </w:footnote>
  <w:footnote w:type="continuationSeparator" w:id="0">
    <w:p w:rsidR="00D20210" w:rsidRDefault="00D20210" w:rsidP="00C116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5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1126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</w:compat>
  <w:rsids>
    <w:rsidRoot w:val="00172A27"/>
    <w:rsid w:val="00000CE8"/>
    <w:rsid w:val="00014887"/>
    <w:rsid w:val="00014CA4"/>
    <w:rsid w:val="000162B3"/>
    <w:rsid w:val="000176E1"/>
    <w:rsid w:val="00021009"/>
    <w:rsid w:val="00024F5E"/>
    <w:rsid w:val="00025734"/>
    <w:rsid w:val="00043326"/>
    <w:rsid w:val="00044F40"/>
    <w:rsid w:val="00062A15"/>
    <w:rsid w:val="0007567B"/>
    <w:rsid w:val="000775C4"/>
    <w:rsid w:val="000811D0"/>
    <w:rsid w:val="00082420"/>
    <w:rsid w:val="000A3586"/>
    <w:rsid w:val="000A5840"/>
    <w:rsid w:val="000B372C"/>
    <w:rsid w:val="000B3D05"/>
    <w:rsid w:val="000B6067"/>
    <w:rsid w:val="000E65D6"/>
    <w:rsid w:val="000F11ED"/>
    <w:rsid w:val="00103432"/>
    <w:rsid w:val="0010795A"/>
    <w:rsid w:val="00107FA6"/>
    <w:rsid w:val="00117809"/>
    <w:rsid w:val="00131C8F"/>
    <w:rsid w:val="00137374"/>
    <w:rsid w:val="00140CC9"/>
    <w:rsid w:val="001431C5"/>
    <w:rsid w:val="00144FF2"/>
    <w:rsid w:val="00147C6F"/>
    <w:rsid w:val="001512F0"/>
    <w:rsid w:val="0015799C"/>
    <w:rsid w:val="0016511B"/>
    <w:rsid w:val="001669FC"/>
    <w:rsid w:val="001673FB"/>
    <w:rsid w:val="00172A27"/>
    <w:rsid w:val="00180C09"/>
    <w:rsid w:val="001828AE"/>
    <w:rsid w:val="00192586"/>
    <w:rsid w:val="001B1261"/>
    <w:rsid w:val="001B691C"/>
    <w:rsid w:val="001B7B54"/>
    <w:rsid w:val="001C10F4"/>
    <w:rsid w:val="001C30D3"/>
    <w:rsid w:val="001D117C"/>
    <w:rsid w:val="001D25FA"/>
    <w:rsid w:val="001D2707"/>
    <w:rsid w:val="001F26BA"/>
    <w:rsid w:val="001F3DF7"/>
    <w:rsid w:val="002050EA"/>
    <w:rsid w:val="00213B02"/>
    <w:rsid w:val="00216307"/>
    <w:rsid w:val="002238F0"/>
    <w:rsid w:val="00225303"/>
    <w:rsid w:val="00245903"/>
    <w:rsid w:val="0025126A"/>
    <w:rsid w:val="00251D5B"/>
    <w:rsid w:val="00253201"/>
    <w:rsid w:val="00272055"/>
    <w:rsid w:val="00297B7D"/>
    <w:rsid w:val="002A0CC2"/>
    <w:rsid w:val="002A1406"/>
    <w:rsid w:val="002C154A"/>
    <w:rsid w:val="002D2A24"/>
    <w:rsid w:val="002E11DD"/>
    <w:rsid w:val="002E1E20"/>
    <w:rsid w:val="002F6730"/>
    <w:rsid w:val="0030730D"/>
    <w:rsid w:val="0031417B"/>
    <w:rsid w:val="00316CE7"/>
    <w:rsid w:val="003204C3"/>
    <w:rsid w:val="0032632E"/>
    <w:rsid w:val="003279F6"/>
    <w:rsid w:val="00337F8C"/>
    <w:rsid w:val="00341AEB"/>
    <w:rsid w:val="00341F2F"/>
    <w:rsid w:val="0034258F"/>
    <w:rsid w:val="0036334B"/>
    <w:rsid w:val="0037204F"/>
    <w:rsid w:val="00373C28"/>
    <w:rsid w:val="003756AE"/>
    <w:rsid w:val="003758BE"/>
    <w:rsid w:val="0038043A"/>
    <w:rsid w:val="00380C90"/>
    <w:rsid w:val="00384C76"/>
    <w:rsid w:val="00385A31"/>
    <w:rsid w:val="0039325D"/>
    <w:rsid w:val="0039647D"/>
    <w:rsid w:val="00396D28"/>
    <w:rsid w:val="003A3264"/>
    <w:rsid w:val="003A66DA"/>
    <w:rsid w:val="003B05B2"/>
    <w:rsid w:val="003B5476"/>
    <w:rsid w:val="003C34AF"/>
    <w:rsid w:val="003D3378"/>
    <w:rsid w:val="003D5412"/>
    <w:rsid w:val="003E1890"/>
    <w:rsid w:val="003E31E6"/>
    <w:rsid w:val="003F11DF"/>
    <w:rsid w:val="003F20CC"/>
    <w:rsid w:val="003F31D7"/>
    <w:rsid w:val="003F69F6"/>
    <w:rsid w:val="004072B0"/>
    <w:rsid w:val="00412A20"/>
    <w:rsid w:val="00414D78"/>
    <w:rsid w:val="00414EB1"/>
    <w:rsid w:val="00415C5E"/>
    <w:rsid w:val="00433F03"/>
    <w:rsid w:val="00434A41"/>
    <w:rsid w:val="00435B2C"/>
    <w:rsid w:val="0044330B"/>
    <w:rsid w:val="0045522B"/>
    <w:rsid w:val="004605E9"/>
    <w:rsid w:val="00463E07"/>
    <w:rsid w:val="00481E13"/>
    <w:rsid w:val="00487CA5"/>
    <w:rsid w:val="00491EC5"/>
    <w:rsid w:val="00492EF0"/>
    <w:rsid w:val="004A583B"/>
    <w:rsid w:val="004A6BC0"/>
    <w:rsid w:val="004A6D43"/>
    <w:rsid w:val="004B162C"/>
    <w:rsid w:val="004B2D5B"/>
    <w:rsid w:val="004C7151"/>
    <w:rsid w:val="004C7A69"/>
    <w:rsid w:val="004D4E53"/>
    <w:rsid w:val="004F00A4"/>
    <w:rsid w:val="004F45BC"/>
    <w:rsid w:val="004F4A1E"/>
    <w:rsid w:val="004F5AC0"/>
    <w:rsid w:val="004F61DE"/>
    <w:rsid w:val="00505233"/>
    <w:rsid w:val="00512833"/>
    <w:rsid w:val="005141EF"/>
    <w:rsid w:val="00520BDE"/>
    <w:rsid w:val="00530D19"/>
    <w:rsid w:val="005454C3"/>
    <w:rsid w:val="00547D76"/>
    <w:rsid w:val="005538B8"/>
    <w:rsid w:val="005548B8"/>
    <w:rsid w:val="00562190"/>
    <w:rsid w:val="00564CC6"/>
    <w:rsid w:val="005702E7"/>
    <w:rsid w:val="005767B9"/>
    <w:rsid w:val="00583831"/>
    <w:rsid w:val="005852AE"/>
    <w:rsid w:val="0058533D"/>
    <w:rsid w:val="00591CF2"/>
    <w:rsid w:val="005A2EF0"/>
    <w:rsid w:val="005A3A75"/>
    <w:rsid w:val="005A4DF1"/>
    <w:rsid w:val="005A5320"/>
    <w:rsid w:val="005D34EA"/>
    <w:rsid w:val="005D71EB"/>
    <w:rsid w:val="005E131C"/>
    <w:rsid w:val="005E1DD4"/>
    <w:rsid w:val="005E6D54"/>
    <w:rsid w:val="00601924"/>
    <w:rsid w:val="00603CED"/>
    <w:rsid w:val="00605E66"/>
    <w:rsid w:val="00611149"/>
    <w:rsid w:val="00611AF8"/>
    <w:rsid w:val="00621CC1"/>
    <w:rsid w:val="00622DD9"/>
    <w:rsid w:val="00634220"/>
    <w:rsid w:val="006605A9"/>
    <w:rsid w:val="00671FEF"/>
    <w:rsid w:val="00673553"/>
    <w:rsid w:val="00674DC9"/>
    <w:rsid w:val="00676C5F"/>
    <w:rsid w:val="006860D6"/>
    <w:rsid w:val="006A36F5"/>
    <w:rsid w:val="006C1930"/>
    <w:rsid w:val="006C2DE8"/>
    <w:rsid w:val="006E0D65"/>
    <w:rsid w:val="006E2FD9"/>
    <w:rsid w:val="006E4602"/>
    <w:rsid w:val="006E6F03"/>
    <w:rsid w:val="006F2D8C"/>
    <w:rsid w:val="0073077B"/>
    <w:rsid w:val="007360BC"/>
    <w:rsid w:val="00743496"/>
    <w:rsid w:val="007452CD"/>
    <w:rsid w:val="00762484"/>
    <w:rsid w:val="00762A06"/>
    <w:rsid w:val="00763037"/>
    <w:rsid w:val="007702D2"/>
    <w:rsid w:val="00775886"/>
    <w:rsid w:val="00794BDA"/>
    <w:rsid w:val="007975E7"/>
    <w:rsid w:val="007A14B1"/>
    <w:rsid w:val="007A1685"/>
    <w:rsid w:val="007A4663"/>
    <w:rsid w:val="007C0891"/>
    <w:rsid w:val="007C3D85"/>
    <w:rsid w:val="007D0155"/>
    <w:rsid w:val="007D1242"/>
    <w:rsid w:val="007D2023"/>
    <w:rsid w:val="007D3323"/>
    <w:rsid w:val="007D57E4"/>
    <w:rsid w:val="007D6F34"/>
    <w:rsid w:val="007E3B7A"/>
    <w:rsid w:val="007E7FF1"/>
    <w:rsid w:val="007F2337"/>
    <w:rsid w:val="00807510"/>
    <w:rsid w:val="00812910"/>
    <w:rsid w:val="008169B6"/>
    <w:rsid w:val="00823961"/>
    <w:rsid w:val="00823CA4"/>
    <w:rsid w:val="0083248F"/>
    <w:rsid w:val="00832DA3"/>
    <w:rsid w:val="0083454E"/>
    <w:rsid w:val="00840E46"/>
    <w:rsid w:val="008416B3"/>
    <w:rsid w:val="008451D5"/>
    <w:rsid w:val="008533D0"/>
    <w:rsid w:val="0085555E"/>
    <w:rsid w:val="00872BC4"/>
    <w:rsid w:val="0087358F"/>
    <w:rsid w:val="00876848"/>
    <w:rsid w:val="0088044C"/>
    <w:rsid w:val="00887F92"/>
    <w:rsid w:val="0089489E"/>
    <w:rsid w:val="008A0883"/>
    <w:rsid w:val="008A1D9A"/>
    <w:rsid w:val="008A3CF5"/>
    <w:rsid w:val="008B2239"/>
    <w:rsid w:val="008B4EB9"/>
    <w:rsid w:val="008B7738"/>
    <w:rsid w:val="008C0317"/>
    <w:rsid w:val="008C1CD4"/>
    <w:rsid w:val="008C4311"/>
    <w:rsid w:val="008D05F7"/>
    <w:rsid w:val="008D1D38"/>
    <w:rsid w:val="008D37FA"/>
    <w:rsid w:val="008D4626"/>
    <w:rsid w:val="008D5FEC"/>
    <w:rsid w:val="008E1AF4"/>
    <w:rsid w:val="008F5435"/>
    <w:rsid w:val="008F5534"/>
    <w:rsid w:val="00900445"/>
    <w:rsid w:val="00901C7A"/>
    <w:rsid w:val="009051EC"/>
    <w:rsid w:val="0091069E"/>
    <w:rsid w:val="00914CF7"/>
    <w:rsid w:val="009160A2"/>
    <w:rsid w:val="009170F8"/>
    <w:rsid w:val="00920907"/>
    <w:rsid w:val="00921070"/>
    <w:rsid w:val="0092323A"/>
    <w:rsid w:val="00923E6B"/>
    <w:rsid w:val="00936C0D"/>
    <w:rsid w:val="0094606B"/>
    <w:rsid w:val="00956015"/>
    <w:rsid w:val="009629E8"/>
    <w:rsid w:val="00962BA2"/>
    <w:rsid w:val="00964B2B"/>
    <w:rsid w:val="00966118"/>
    <w:rsid w:val="00984CFE"/>
    <w:rsid w:val="009868BF"/>
    <w:rsid w:val="0099194B"/>
    <w:rsid w:val="00993087"/>
    <w:rsid w:val="00995D56"/>
    <w:rsid w:val="009A0307"/>
    <w:rsid w:val="009A0A9B"/>
    <w:rsid w:val="009C2F7D"/>
    <w:rsid w:val="009E0A16"/>
    <w:rsid w:val="009E3910"/>
    <w:rsid w:val="00A16754"/>
    <w:rsid w:val="00A24EE3"/>
    <w:rsid w:val="00A31796"/>
    <w:rsid w:val="00A44DD3"/>
    <w:rsid w:val="00A479C2"/>
    <w:rsid w:val="00A47BF6"/>
    <w:rsid w:val="00A529CC"/>
    <w:rsid w:val="00A61692"/>
    <w:rsid w:val="00A715E5"/>
    <w:rsid w:val="00A736D1"/>
    <w:rsid w:val="00A76DED"/>
    <w:rsid w:val="00A84681"/>
    <w:rsid w:val="00A902D6"/>
    <w:rsid w:val="00AB7C25"/>
    <w:rsid w:val="00AC1E4F"/>
    <w:rsid w:val="00AC4EF5"/>
    <w:rsid w:val="00AD3A23"/>
    <w:rsid w:val="00AD4DCA"/>
    <w:rsid w:val="00AD69C0"/>
    <w:rsid w:val="00AD7F61"/>
    <w:rsid w:val="00AE013B"/>
    <w:rsid w:val="00AE3BB4"/>
    <w:rsid w:val="00AE4483"/>
    <w:rsid w:val="00AE76E0"/>
    <w:rsid w:val="00AF3DE5"/>
    <w:rsid w:val="00AF6849"/>
    <w:rsid w:val="00B00E60"/>
    <w:rsid w:val="00B04EA2"/>
    <w:rsid w:val="00B278EC"/>
    <w:rsid w:val="00B35856"/>
    <w:rsid w:val="00B35DE7"/>
    <w:rsid w:val="00B47994"/>
    <w:rsid w:val="00B47C59"/>
    <w:rsid w:val="00B5069A"/>
    <w:rsid w:val="00B51357"/>
    <w:rsid w:val="00B518E3"/>
    <w:rsid w:val="00B52F23"/>
    <w:rsid w:val="00B65646"/>
    <w:rsid w:val="00B75F1D"/>
    <w:rsid w:val="00B92354"/>
    <w:rsid w:val="00B9366C"/>
    <w:rsid w:val="00B94376"/>
    <w:rsid w:val="00B9473A"/>
    <w:rsid w:val="00BA0402"/>
    <w:rsid w:val="00BD24F7"/>
    <w:rsid w:val="00BF283D"/>
    <w:rsid w:val="00BF7370"/>
    <w:rsid w:val="00C116BA"/>
    <w:rsid w:val="00C13293"/>
    <w:rsid w:val="00C16EDD"/>
    <w:rsid w:val="00C17CB4"/>
    <w:rsid w:val="00C20D94"/>
    <w:rsid w:val="00C240B9"/>
    <w:rsid w:val="00C24EB7"/>
    <w:rsid w:val="00C31292"/>
    <w:rsid w:val="00C36530"/>
    <w:rsid w:val="00C3685C"/>
    <w:rsid w:val="00C40E36"/>
    <w:rsid w:val="00C44B2E"/>
    <w:rsid w:val="00C47E25"/>
    <w:rsid w:val="00C6124C"/>
    <w:rsid w:val="00C67E7F"/>
    <w:rsid w:val="00C716E6"/>
    <w:rsid w:val="00C810FA"/>
    <w:rsid w:val="00C86CA4"/>
    <w:rsid w:val="00C92F11"/>
    <w:rsid w:val="00C930CB"/>
    <w:rsid w:val="00CA468E"/>
    <w:rsid w:val="00CB0218"/>
    <w:rsid w:val="00CB3845"/>
    <w:rsid w:val="00CB6323"/>
    <w:rsid w:val="00CB6D85"/>
    <w:rsid w:val="00CE0995"/>
    <w:rsid w:val="00CE70C8"/>
    <w:rsid w:val="00D05621"/>
    <w:rsid w:val="00D13E05"/>
    <w:rsid w:val="00D20210"/>
    <w:rsid w:val="00D27624"/>
    <w:rsid w:val="00D40A9E"/>
    <w:rsid w:val="00D505E7"/>
    <w:rsid w:val="00D539B9"/>
    <w:rsid w:val="00D57B7A"/>
    <w:rsid w:val="00D63C25"/>
    <w:rsid w:val="00D64FA7"/>
    <w:rsid w:val="00D75CEF"/>
    <w:rsid w:val="00D81E82"/>
    <w:rsid w:val="00D82E4A"/>
    <w:rsid w:val="00D939A6"/>
    <w:rsid w:val="00DA1BA4"/>
    <w:rsid w:val="00DB65C7"/>
    <w:rsid w:val="00DC0AA0"/>
    <w:rsid w:val="00DC47C2"/>
    <w:rsid w:val="00DD29B2"/>
    <w:rsid w:val="00DE359D"/>
    <w:rsid w:val="00DF2398"/>
    <w:rsid w:val="00E01738"/>
    <w:rsid w:val="00E16075"/>
    <w:rsid w:val="00E1630B"/>
    <w:rsid w:val="00E21624"/>
    <w:rsid w:val="00E34E4A"/>
    <w:rsid w:val="00E44443"/>
    <w:rsid w:val="00E8756F"/>
    <w:rsid w:val="00E91E0B"/>
    <w:rsid w:val="00EA2C2D"/>
    <w:rsid w:val="00EA5F3B"/>
    <w:rsid w:val="00EA7ED8"/>
    <w:rsid w:val="00EB5EEC"/>
    <w:rsid w:val="00EE63A3"/>
    <w:rsid w:val="00EF2B68"/>
    <w:rsid w:val="00EF5956"/>
    <w:rsid w:val="00F03468"/>
    <w:rsid w:val="00F063AA"/>
    <w:rsid w:val="00F16078"/>
    <w:rsid w:val="00F37687"/>
    <w:rsid w:val="00F543E9"/>
    <w:rsid w:val="00F5788D"/>
    <w:rsid w:val="00F619D1"/>
    <w:rsid w:val="00F63A0C"/>
    <w:rsid w:val="00F668D0"/>
    <w:rsid w:val="00F673D4"/>
    <w:rsid w:val="00F71E58"/>
    <w:rsid w:val="00FA0006"/>
    <w:rsid w:val="00FA35D5"/>
    <w:rsid w:val="00FA5BCD"/>
    <w:rsid w:val="00FA70CF"/>
    <w:rsid w:val="00FC3E8B"/>
    <w:rsid w:val="00FD158A"/>
    <w:rsid w:val="00FE37D5"/>
    <w:rsid w:val="00FE78D5"/>
    <w:rsid w:val="00FF73DE"/>
    <w:rsid w:val="01FF7D2C"/>
    <w:rsid w:val="12EB2366"/>
    <w:rsid w:val="16A17E34"/>
    <w:rsid w:val="18193CEC"/>
    <w:rsid w:val="195F5544"/>
    <w:rsid w:val="1D7A0C42"/>
    <w:rsid w:val="208633F4"/>
    <w:rsid w:val="37427435"/>
    <w:rsid w:val="4A881958"/>
    <w:rsid w:val="4B263044"/>
    <w:rsid w:val="4C522CD6"/>
    <w:rsid w:val="50BC5AB1"/>
    <w:rsid w:val="534C122B"/>
    <w:rsid w:val="54D43122"/>
    <w:rsid w:val="561529A9"/>
    <w:rsid w:val="56E80E7C"/>
    <w:rsid w:val="60704DDA"/>
    <w:rsid w:val="62412B2E"/>
    <w:rsid w:val="638B2DC6"/>
    <w:rsid w:val="66253803"/>
    <w:rsid w:val="668A4280"/>
    <w:rsid w:val="6BCD2BF5"/>
    <w:rsid w:val="6C091DB7"/>
    <w:rsid w:val="70862773"/>
    <w:rsid w:val="73D07BD0"/>
    <w:rsid w:val="768246DF"/>
    <w:rsid w:val="77716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6B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C116BA"/>
    <w:rPr>
      <w:sz w:val="18"/>
      <w:szCs w:val="18"/>
    </w:rPr>
  </w:style>
  <w:style w:type="paragraph" w:styleId="a4">
    <w:name w:val="footer"/>
    <w:basedOn w:val="a"/>
    <w:qFormat/>
    <w:rsid w:val="00C116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C11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qFormat/>
    <w:rsid w:val="00C116BA"/>
    <w:pPr>
      <w:tabs>
        <w:tab w:val="right" w:leader="hyphen" w:pos="8777"/>
      </w:tabs>
    </w:pPr>
    <w:rPr>
      <w:rFonts w:ascii="宋体" w:hAnsi="宋体"/>
      <w:b/>
      <w:sz w:val="24"/>
      <w:szCs w:val="24"/>
    </w:rPr>
  </w:style>
  <w:style w:type="paragraph" w:styleId="2">
    <w:name w:val="toc 2"/>
    <w:basedOn w:val="a"/>
    <w:next w:val="a"/>
    <w:qFormat/>
    <w:rsid w:val="00C116BA"/>
    <w:pPr>
      <w:ind w:leftChars="200" w:left="420"/>
    </w:pPr>
  </w:style>
  <w:style w:type="paragraph" w:styleId="a6">
    <w:name w:val="Normal (Web)"/>
    <w:basedOn w:val="a"/>
    <w:qFormat/>
    <w:rsid w:val="00C116BA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character" w:styleId="a7">
    <w:name w:val="Strong"/>
    <w:qFormat/>
    <w:rsid w:val="00C116BA"/>
    <w:rPr>
      <w:rFonts w:ascii="Times New Roman" w:eastAsia="宋体" w:hAnsi="Times New Roman" w:cs="Times New Roman"/>
      <w:b/>
      <w:bCs/>
    </w:rPr>
  </w:style>
  <w:style w:type="character" w:styleId="a8">
    <w:name w:val="FollowedHyperlink"/>
    <w:qFormat/>
    <w:rsid w:val="00C116BA"/>
    <w:rPr>
      <w:rFonts w:ascii="Times New Roman" w:eastAsia="宋体" w:hAnsi="Times New Roman" w:cs="Times New Roman"/>
      <w:color w:val="800080"/>
      <w:u w:val="single"/>
    </w:rPr>
  </w:style>
  <w:style w:type="character" w:styleId="a9">
    <w:name w:val="Hyperlink"/>
    <w:qFormat/>
    <w:rsid w:val="00C116BA"/>
    <w:rPr>
      <w:rFonts w:ascii="Times New Roman" w:eastAsia="宋体" w:hAnsi="Times New Roman" w:cs="Times New Roman"/>
      <w:color w:val="0000FF"/>
      <w:u w:val="single"/>
    </w:rPr>
  </w:style>
  <w:style w:type="character" w:customStyle="1" w:styleId="10">
    <w:name w:val="页码1"/>
    <w:qFormat/>
    <w:rsid w:val="00C116BA"/>
    <w:rPr>
      <w:rFonts w:ascii="Times New Roman" w:eastAsia="宋体" w:hAnsi="Times New Roman" w:cs="Times New Roman"/>
    </w:rPr>
  </w:style>
  <w:style w:type="paragraph" w:customStyle="1" w:styleId="11">
    <w:name w:val="日期1"/>
    <w:basedOn w:val="a"/>
    <w:next w:val="a"/>
    <w:qFormat/>
    <w:rsid w:val="00C116BA"/>
    <w:pPr>
      <w:ind w:leftChars="2500" w:left="100"/>
    </w:pPr>
  </w:style>
  <w:style w:type="paragraph" w:customStyle="1" w:styleId="12">
    <w:name w:val="普通(网站)1"/>
    <w:basedOn w:val="a"/>
    <w:qFormat/>
    <w:rsid w:val="00C116B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3">
    <w:name w:val="正文文本缩进1"/>
    <w:basedOn w:val="a"/>
    <w:qFormat/>
    <w:rsid w:val="00C116BA"/>
    <w:pPr>
      <w:ind w:left="315" w:firstLine="420"/>
    </w:pPr>
    <w:rPr>
      <w:rFonts w:ascii="宋体"/>
      <w:sz w:val="28"/>
    </w:rPr>
  </w:style>
  <w:style w:type="paragraph" w:styleId="aa">
    <w:name w:val="No Spacing"/>
    <w:qFormat/>
    <w:rsid w:val="00C116BA"/>
    <w:pPr>
      <w:widowControl w:val="0"/>
      <w:jc w:val="both"/>
    </w:pPr>
    <w:rPr>
      <w:kern w:val="2"/>
      <w:sz w:val="21"/>
    </w:rPr>
  </w:style>
  <w:style w:type="paragraph" w:customStyle="1" w:styleId="14">
    <w:name w:val="文档结构图1"/>
    <w:basedOn w:val="a"/>
    <w:qFormat/>
    <w:rsid w:val="00C116BA"/>
    <w:pPr>
      <w:shd w:val="clear" w:color="auto" w:fill="000080"/>
    </w:pPr>
  </w:style>
  <w:style w:type="paragraph" w:customStyle="1" w:styleId="p0">
    <w:name w:val="p0"/>
    <w:basedOn w:val="a"/>
    <w:qFormat/>
    <w:rsid w:val="00C116BA"/>
    <w:pPr>
      <w:widowControl/>
    </w:pPr>
    <w:rPr>
      <w:rFonts w:ascii="Calibri" w:hAnsi="Calibri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26032;&#24314;&#25991;&#20214;&#22841;\&#22270;&#33539;&#34920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view3D>
      <c:rotX val="0"/>
      <c:rotY val="0"/>
      <c:depthPercent val="100"/>
      <c:rAngAx val="1"/>
    </c:view3D>
    <c:plotArea>
      <c:layout>
        <c:manualLayout>
          <c:layoutTarget val="inner"/>
          <c:xMode val="edge"/>
          <c:yMode val="edge"/>
          <c:x val="9.3853990473413862E-2"/>
          <c:y val="6.0659813356663754E-2"/>
          <c:w val="0.8286768828117449"/>
          <c:h val="0.78211226617820806"/>
        </c:manualLayout>
      </c:layout>
      <c:bar3DChart>
        <c:barDir val="col"/>
        <c:grouping val="clustered"/>
        <c:ser>
          <c:idx val="0"/>
          <c:order val="0"/>
          <c:tx>
            <c:strRef>
              <c:f>Sheet1!$AD$168</c:f>
              <c:strCache>
                <c:ptCount val="1"/>
                <c:pt idx="0">
                  <c:v>2023年</c:v>
                </c:pt>
              </c:strCache>
            </c:strRef>
          </c:tx>
          <c:cat>
            <c:strRef>
              <c:f>Sheet1!$AE$167:$AJ$167</c:f>
              <c:strCache>
                <c:ptCount val="6"/>
                <c:pt idx="0">
                  <c:v>SO2</c:v>
                </c:pt>
                <c:pt idx="1">
                  <c:v>NO2</c:v>
                </c:pt>
                <c:pt idx="2">
                  <c:v>CO</c:v>
                </c:pt>
                <c:pt idx="3">
                  <c:v>O3</c:v>
                </c:pt>
                <c:pt idx="4">
                  <c:v>PM10</c:v>
                </c:pt>
                <c:pt idx="5">
                  <c:v>PM2.5</c:v>
                </c:pt>
              </c:strCache>
            </c:strRef>
          </c:cat>
          <c:val>
            <c:numRef>
              <c:f>Sheet1!$AE$168:$AJ$168</c:f>
              <c:numCache>
                <c:formatCode>General</c:formatCode>
                <c:ptCount val="6"/>
                <c:pt idx="0">
                  <c:v>5.0000000000000096E-3</c:v>
                </c:pt>
                <c:pt idx="1">
                  <c:v>1.7999999999999999E-2</c:v>
                </c:pt>
                <c:pt idx="2">
                  <c:v>7.2727272727272738E-2</c:v>
                </c:pt>
                <c:pt idx="3">
                  <c:v>5.9090909090909124E-2</c:v>
                </c:pt>
                <c:pt idx="4">
                  <c:v>3.3000000000000002E-2</c:v>
                </c:pt>
                <c:pt idx="5">
                  <c:v>1.7000000000000001E-2</c:v>
                </c:pt>
              </c:numCache>
            </c:numRef>
          </c:val>
        </c:ser>
        <c:ser>
          <c:idx val="1"/>
          <c:order val="1"/>
          <c:tx>
            <c:strRef>
              <c:f>Sheet1!$AD$169</c:f>
              <c:strCache>
                <c:ptCount val="1"/>
                <c:pt idx="0">
                  <c:v>2022年 </c:v>
                </c:pt>
              </c:strCache>
            </c:strRef>
          </c:tx>
          <c:dLbls>
            <c:dLbl>
              <c:idx val="0"/>
              <c:layout>
                <c:manualLayout>
                  <c:x val="6.8702460351096738E-4"/>
                  <c:y val="-3.996479292052248E-4"/>
                </c:manualLayout>
              </c:layout>
              <c:tx>
                <c:rich>
                  <a:bodyPr/>
                  <a:lstStyle/>
                  <a:p>
                    <a:r>
                      <a:rPr lang="en-US" altLang="zh-CN" sz="900"/>
                      <a:t>25.0%</a:t>
                    </a:r>
                    <a:endParaRPr lang="en-US" altLang="en-US" sz="900"/>
                  </a:p>
                </c:rich>
              </c:tx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txPr>
              <a:bodyPr/>
              <a:lstStyle/>
              <a:p>
                <a:pPr>
                  <a:defRPr sz="900"/>
                </a:pPr>
                <a:endParaRPr lang="zh-CN"/>
              </a:p>
            </c:txPr>
            <c:showVal val="1"/>
          </c:dLbls>
          <c:cat>
            <c:strRef>
              <c:f>Sheet1!$AE$167:$AJ$167</c:f>
              <c:strCache>
                <c:ptCount val="6"/>
                <c:pt idx="0">
                  <c:v>SO2</c:v>
                </c:pt>
                <c:pt idx="1">
                  <c:v>NO2</c:v>
                </c:pt>
                <c:pt idx="2">
                  <c:v>CO</c:v>
                </c:pt>
                <c:pt idx="3">
                  <c:v>O3</c:v>
                </c:pt>
                <c:pt idx="4">
                  <c:v>PM10</c:v>
                </c:pt>
                <c:pt idx="5">
                  <c:v>PM2.5</c:v>
                </c:pt>
              </c:strCache>
            </c:strRef>
          </c:cat>
          <c:val>
            <c:numRef>
              <c:f>Sheet1!$AE$169:$AJ$169</c:f>
              <c:numCache>
                <c:formatCode>General</c:formatCode>
                <c:ptCount val="6"/>
                <c:pt idx="0">
                  <c:v>4.0000000000000096E-3</c:v>
                </c:pt>
                <c:pt idx="1">
                  <c:v>1.4999999999999998E-2</c:v>
                </c:pt>
                <c:pt idx="2">
                  <c:v>7.2727272727272738E-2</c:v>
                </c:pt>
                <c:pt idx="3">
                  <c:v>6.545454545454546E-2</c:v>
                </c:pt>
                <c:pt idx="4">
                  <c:v>2.9000000000000001E-2</c:v>
                </c:pt>
                <c:pt idx="5">
                  <c:v>1.6000000000000021E-2</c:v>
                </c:pt>
              </c:numCache>
            </c:numRef>
          </c:val>
        </c:ser>
        <c:shape val="cylinder"/>
        <c:axId val="154426368"/>
        <c:axId val="235259776"/>
        <c:axId val="0"/>
      </c:bar3DChart>
      <c:catAx>
        <c:axId val="154426368"/>
        <c:scaling>
          <c:orientation val="minMax"/>
        </c:scaling>
        <c:axPos val="b"/>
        <c:numFmt formatCode="General" sourceLinked="1"/>
        <c:majorTickMark val="none"/>
        <c:tickLblPos val="nextTo"/>
        <c:crossAx val="235259776"/>
        <c:crosses val="autoZero"/>
        <c:auto val="1"/>
        <c:lblAlgn val="ctr"/>
        <c:lblOffset val="100"/>
      </c:catAx>
      <c:valAx>
        <c:axId val="235259776"/>
        <c:scaling>
          <c:orientation val="minMax"/>
          <c:max val="0.17"/>
          <c:min val="0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zh-CN" altLang="en-US" b="0"/>
                  <a:t>浓度值</a:t>
                </a:r>
                <a:r>
                  <a:rPr lang="en-US" altLang="zh-CN" b="0"/>
                  <a:t>:</a:t>
                </a:r>
                <a:r>
                  <a:rPr lang="zh-CN" altLang="en-US" b="0"/>
                  <a:t>（单位</a:t>
                </a:r>
                <a:r>
                  <a:rPr lang="en-US" altLang="zh-CN" b="0"/>
                  <a:t>mg/m3</a:t>
                </a:r>
                <a:r>
                  <a:rPr lang="zh-CN" altLang="en-US" b="0"/>
                  <a:t>）</a:t>
                </a:r>
              </a:p>
            </c:rich>
          </c:tx>
          <c:layout>
            <c:manualLayout>
              <c:xMode val="edge"/>
              <c:yMode val="edge"/>
              <c:x val="6.1109797535931418E-2"/>
              <c:y val="0.26271776450904388"/>
            </c:manualLayout>
          </c:layout>
        </c:title>
        <c:numFmt formatCode="General" sourceLinked="1"/>
        <c:majorTickMark val="none"/>
        <c:tickLblPos val="none"/>
        <c:crossAx val="154426368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77496003509476363"/>
          <c:y val="0.11343181800160175"/>
          <c:w val="0.12160870825990971"/>
          <c:h val="0.19263347368587988"/>
        </c:manualLayout>
      </c:layout>
    </c:legend>
    <c:plotVisOnly val="1"/>
    <c:dispBlanksAs val="gap"/>
  </c:chart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0.34113</cdr:x>
      <cdr:y>0.20595</cdr:y>
    </cdr:from>
    <cdr:to>
      <cdr:x>0.43649</cdr:x>
      <cdr:y>0.30219</cdr:y>
    </cdr:to>
    <cdr:sp macro="" textlink="">
      <cdr:nvSpPr>
        <cdr:cNvPr id="9" name="TextBox 8"/>
        <cdr:cNvSpPr txBox="1"/>
      </cdr:nvSpPr>
      <cdr:spPr>
        <a:xfrm xmlns:a="http://schemas.openxmlformats.org/drawingml/2006/main">
          <a:off x="2293967" y="649309"/>
          <a:ext cx="641263" cy="30342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0.28028</cdr:x>
      <cdr:y>0.66728</cdr:y>
    </cdr:from>
    <cdr:to>
      <cdr:x>0.3695</cdr:x>
      <cdr:y>0.75755</cdr:y>
    </cdr:to>
    <cdr:sp macro="" textlink="">
      <cdr:nvSpPr>
        <cdr:cNvPr id="11" name="TextBox 1"/>
        <cdr:cNvSpPr txBox="1"/>
      </cdr:nvSpPr>
      <cdr:spPr>
        <a:xfrm xmlns:a="http://schemas.openxmlformats.org/drawingml/2006/main">
          <a:off x="1539772" y="1719073"/>
          <a:ext cx="490155" cy="2325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altLang="zh-CN" sz="900"/>
            <a:t>20.0%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0.55949</cdr:x>
      <cdr:y>0.46867</cdr:y>
    </cdr:from>
    <cdr:to>
      <cdr:x>0.66319</cdr:x>
      <cdr:y>0.55895</cdr:y>
    </cdr:to>
    <cdr:sp macro="" textlink="">
      <cdr:nvSpPr>
        <cdr:cNvPr id="12" name="TextBox 1"/>
        <cdr:cNvSpPr txBox="1"/>
      </cdr:nvSpPr>
      <cdr:spPr>
        <a:xfrm xmlns:a="http://schemas.openxmlformats.org/drawingml/2006/main">
          <a:off x="3073714" y="1207398"/>
          <a:ext cx="569705" cy="23258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altLang="zh-CN" sz="900"/>
            <a:t>9.7%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0.62194</cdr:x>
      <cdr:y>0.39884</cdr:y>
    </cdr:from>
    <cdr:to>
      <cdr:x>0.72565</cdr:x>
      <cdr:y>0.48912</cdr:y>
    </cdr:to>
    <cdr:sp macro="" textlink="">
      <cdr:nvSpPr>
        <cdr:cNvPr id="13" name="TextBox 1"/>
        <cdr:cNvSpPr txBox="1"/>
      </cdr:nvSpPr>
      <cdr:spPr>
        <a:xfrm xmlns:a="http://schemas.openxmlformats.org/drawingml/2006/main">
          <a:off x="3797616" y="1228417"/>
          <a:ext cx="633263" cy="2780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0.82945</cdr:x>
      <cdr:y>0.67868</cdr:y>
    </cdr:from>
    <cdr:to>
      <cdr:x>0.91344</cdr:x>
      <cdr:y>0.74898</cdr:y>
    </cdr:to>
    <cdr:sp macro="" textlink="">
      <cdr:nvSpPr>
        <cdr:cNvPr id="14" name="TextBox 1"/>
        <cdr:cNvSpPr txBox="1"/>
      </cdr:nvSpPr>
      <cdr:spPr>
        <a:xfrm xmlns:a="http://schemas.openxmlformats.org/drawingml/2006/main">
          <a:off x="4556828" y="1748443"/>
          <a:ext cx="461422" cy="1811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altLang="zh-CN" sz="900"/>
            <a:t>6.3%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0.40705</cdr:x>
      <cdr:y>0.42334</cdr:y>
    </cdr:from>
    <cdr:to>
      <cdr:x>0.48716</cdr:x>
      <cdr:y>0.49534</cdr:y>
    </cdr:to>
    <cdr:sp macro="" textlink="">
      <cdr:nvSpPr>
        <cdr:cNvPr id="17" name="TextBox 1"/>
        <cdr:cNvSpPr txBox="1"/>
      </cdr:nvSpPr>
      <cdr:spPr>
        <a:xfrm xmlns:a="http://schemas.openxmlformats.org/drawingml/2006/main">
          <a:off x="2236229" y="1090610"/>
          <a:ext cx="440106" cy="18548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zh-CN" altLang="en-US" sz="900"/>
            <a:t>持平</a:t>
          </a:r>
        </a:p>
      </cdr:txBody>
    </cdr:sp>
  </cdr:relSizeAnchor>
  <cdr:relSizeAnchor xmlns:cdr="http://schemas.openxmlformats.org/drawingml/2006/chartDrawing">
    <cdr:from>
      <cdr:x>0.25098</cdr:x>
      <cdr:y>0.31608</cdr:y>
    </cdr:from>
    <cdr:to>
      <cdr:x>0.34634</cdr:x>
      <cdr:y>0.37243</cdr:y>
    </cdr:to>
    <cdr:sp macro="" textlink="">
      <cdr:nvSpPr>
        <cdr:cNvPr id="2" name="TextBox 8"/>
        <cdr:cNvSpPr txBox="1"/>
      </cdr:nvSpPr>
      <cdr:spPr>
        <a:xfrm xmlns:a="http://schemas.openxmlformats.org/drawingml/2006/main">
          <a:off x="1532534" y="976522"/>
          <a:ext cx="582276" cy="17409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0.15044</cdr:x>
      <cdr:y>0.32377</cdr:y>
    </cdr:from>
    <cdr:to>
      <cdr:x>0.2458</cdr:x>
      <cdr:y>0.42001</cdr:y>
    </cdr:to>
    <cdr:sp macro="" textlink="">
      <cdr:nvSpPr>
        <cdr:cNvPr id="3" name="TextBox 8"/>
        <cdr:cNvSpPr txBox="1"/>
      </cdr:nvSpPr>
      <cdr:spPr>
        <a:xfrm xmlns:a="http://schemas.openxmlformats.org/drawingml/2006/main">
          <a:off x="1011671" y="1020788"/>
          <a:ext cx="641262" cy="30342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0.82631</cdr:x>
      <cdr:y>0.31105</cdr:y>
    </cdr:from>
    <cdr:to>
      <cdr:x>0.91553</cdr:x>
      <cdr:y>0.40132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5320556" y="980680"/>
          <a:ext cx="574479" cy="28460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0.8623</cdr:x>
      <cdr:y>0.59254</cdr:y>
    </cdr:from>
    <cdr:to>
      <cdr:x>0.966</cdr:x>
      <cdr:y>0.68282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5552247" y="1868144"/>
          <a:ext cx="667714" cy="28463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0.62194</cdr:x>
      <cdr:y>0.39884</cdr:y>
    </cdr:from>
    <cdr:to>
      <cdr:x>0.72565</cdr:x>
      <cdr:y>0.48912</cdr:y>
    </cdr:to>
    <cdr:sp macro="" textlink="">
      <cdr:nvSpPr>
        <cdr:cNvPr id="7" name="TextBox 1"/>
        <cdr:cNvSpPr txBox="1"/>
      </cdr:nvSpPr>
      <cdr:spPr>
        <a:xfrm xmlns:a="http://schemas.openxmlformats.org/drawingml/2006/main">
          <a:off x="3797616" y="1228417"/>
          <a:ext cx="633263" cy="2780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0.81381</cdr:x>
      <cdr:y>0.39931</cdr:y>
    </cdr:from>
    <cdr:to>
      <cdr:x>0.91751</cdr:x>
      <cdr:y>0.49427</cdr:y>
    </cdr:to>
    <cdr:sp macro="" textlink="">
      <cdr:nvSpPr>
        <cdr:cNvPr id="10" name="TextBox 1"/>
        <cdr:cNvSpPr txBox="1"/>
      </cdr:nvSpPr>
      <cdr:spPr>
        <a:xfrm xmlns:a="http://schemas.openxmlformats.org/drawingml/2006/main">
          <a:off x="5240040" y="1258935"/>
          <a:ext cx="667714" cy="2993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0.25098</cdr:x>
      <cdr:y>0.31608</cdr:y>
    </cdr:from>
    <cdr:to>
      <cdr:x>0.34634</cdr:x>
      <cdr:y>0.37243</cdr:y>
    </cdr:to>
    <cdr:sp macro="" textlink="">
      <cdr:nvSpPr>
        <cdr:cNvPr id="15" name="TextBox 8"/>
        <cdr:cNvSpPr txBox="1"/>
      </cdr:nvSpPr>
      <cdr:spPr>
        <a:xfrm xmlns:a="http://schemas.openxmlformats.org/drawingml/2006/main">
          <a:off x="1532534" y="976522"/>
          <a:ext cx="582276" cy="17409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0.68892</cdr:x>
      <cdr:y>0.60767</cdr:y>
    </cdr:from>
    <cdr:to>
      <cdr:x>0.79263</cdr:x>
      <cdr:y>0.69795</cdr:y>
    </cdr:to>
    <cdr:sp macro="" textlink="">
      <cdr:nvSpPr>
        <cdr:cNvPr id="21" name="TextBox 1"/>
        <cdr:cNvSpPr txBox="1"/>
      </cdr:nvSpPr>
      <cdr:spPr>
        <a:xfrm xmlns:a="http://schemas.openxmlformats.org/drawingml/2006/main">
          <a:off x="3784788" y="1565495"/>
          <a:ext cx="569759" cy="23258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altLang="zh-CN" sz="900"/>
            <a:t>13.8%</a:t>
          </a:r>
          <a:endParaRPr lang="zh-CN" altLang="en-US" sz="900"/>
        </a:p>
      </cdr:txBody>
    </cdr:sp>
  </cdr:relSizeAnchor>
  <cdr:relSizeAnchor xmlns:cdr="http://schemas.openxmlformats.org/drawingml/2006/chartDrawing">
    <cdr:from>
      <cdr:x>0.55098</cdr:x>
      <cdr:y>0.48037</cdr:y>
    </cdr:from>
    <cdr:to>
      <cdr:x>0.56181</cdr:x>
      <cdr:y>0.55211</cdr:y>
    </cdr:to>
    <cdr:sp macro="" textlink="">
      <cdr:nvSpPr>
        <cdr:cNvPr id="29" name="下箭头 28"/>
        <cdr:cNvSpPr/>
      </cdr:nvSpPr>
      <cdr:spPr>
        <a:xfrm xmlns:a="http://schemas.openxmlformats.org/drawingml/2006/main">
          <a:off x="3705179" y="1514488"/>
          <a:ext cx="72828" cy="226180"/>
        </a:xfrm>
        <a:prstGeom xmlns:a="http://schemas.openxmlformats.org/drawingml/2006/main" prst="downArrow">
          <a:avLst/>
        </a:prstGeom>
        <a:solidFill xmlns:a="http://schemas.openxmlformats.org/drawingml/2006/main">
          <a:srgbClr val="9BBB59"/>
        </a:solidFill>
        <a:ln xmlns:a="http://schemas.openxmlformats.org/drawingml/2006/main" w="25400" cap="flat" cmpd="sng" algn="ctr">
          <a:solidFill>
            <a:srgbClr val="9BBB59">
              <a:shade val="50000"/>
            </a:srgbClr>
          </a:solidFill>
          <a:prstDash val="solid"/>
        </a:ln>
        <a:effectLst xmlns:a="http://schemas.openxmlformats.org/drawingml/2006/main"/>
      </cdr:spPr>
      <cdr:style>
        <a:lnRef xmlns:a="http://schemas.openxmlformats.org/drawingml/2006/main" idx="2">
          <a:schemeClr val="accent3">
            <a:shade val="50000"/>
          </a:schemeClr>
        </a:lnRef>
        <a:fillRef xmlns:a="http://schemas.openxmlformats.org/drawingml/2006/main" idx="1">
          <a:schemeClr val="accent3"/>
        </a:fillRef>
        <a:effectRef xmlns:a="http://schemas.openxmlformats.org/drawingml/2006/main" idx="0">
          <a:schemeClr val="accent3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0.14589</cdr:x>
      <cdr:y>0.71602</cdr:y>
    </cdr:from>
    <cdr:to>
      <cdr:x>0.15723</cdr:x>
      <cdr:y>0.79112</cdr:y>
    </cdr:to>
    <cdr:sp macro="" textlink="">
      <cdr:nvSpPr>
        <cdr:cNvPr id="22" name="下箭头 21"/>
        <cdr:cNvSpPr/>
      </cdr:nvSpPr>
      <cdr:spPr>
        <a:xfrm xmlns:a="http://schemas.openxmlformats.org/drawingml/2006/main" flipV="1">
          <a:off x="981047" y="2257437"/>
          <a:ext cx="76258" cy="236774"/>
        </a:xfrm>
        <a:prstGeom xmlns:a="http://schemas.openxmlformats.org/drawingml/2006/main" prst="downArrow">
          <a:avLst/>
        </a:prstGeom>
        <a:solidFill xmlns:a="http://schemas.openxmlformats.org/drawingml/2006/main">
          <a:srgbClr val="C0504D"/>
        </a:solidFill>
        <a:ln xmlns:a="http://schemas.openxmlformats.org/drawingml/2006/main" w="25400" cap="flat" cmpd="sng" algn="ctr">
          <a:solidFill>
            <a:srgbClr val="C0504D">
              <a:shade val="50000"/>
            </a:srgbClr>
          </a:solidFill>
          <a:prstDash val="solid"/>
        </a:ln>
        <a:effectLst xmlns:a="http://schemas.openxmlformats.org/drawingml/2006/main"/>
      </cdr:spPr>
      <cdr:style>
        <a:lnRef xmlns:a="http://schemas.openxmlformats.org/drawingml/2006/main" idx="2">
          <a:schemeClr val="accent2">
            <a:shade val="50000"/>
          </a:schemeClr>
        </a:lnRef>
        <a:fillRef xmlns:a="http://schemas.openxmlformats.org/drawingml/2006/main" idx="1">
          <a:schemeClr val="accent2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0.27904</cdr:x>
      <cdr:y>0.65861</cdr:y>
    </cdr:from>
    <cdr:to>
      <cdr:x>0.29038</cdr:x>
      <cdr:y>0.73371</cdr:y>
    </cdr:to>
    <cdr:sp macro="" textlink="">
      <cdr:nvSpPr>
        <cdr:cNvPr id="24" name="下箭头 23"/>
        <cdr:cNvSpPr/>
      </cdr:nvSpPr>
      <cdr:spPr>
        <a:xfrm xmlns:a="http://schemas.openxmlformats.org/drawingml/2006/main" flipV="1">
          <a:off x="1876425" y="2076450"/>
          <a:ext cx="76258" cy="236774"/>
        </a:xfrm>
        <a:prstGeom xmlns:a="http://schemas.openxmlformats.org/drawingml/2006/main" prst="downArrow">
          <a:avLst/>
        </a:prstGeom>
        <a:solidFill xmlns:a="http://schemas.openxmlformats.org/drawingml/2006/main">
          <a:srgbClr val="C0504D"/>
        </a:solidFill>
        <a:ln xmlns:a="http://schemas.openxmlformats.org/drawingml/2006/main" w="25400" cap="flat" cmpd="sng" algn="ctr">
          <a:solidFill>
            <a:srgbClr val="C0504D">
              <a:shade val="50000"/>
            </a:srgbClr>
          </a:solidFill>
          <a:prstDash val="solid"/>
        </a:ln>
        <a:effectLst xmlns:a="http://schemas.openxmlformats.org/drawingml/2006/main"/>
      </cdr:spPr>
      <cdr:style>
        <a:lnRef xmlns:a="http://schemas.openxmlformats.org/drawingml/2006/main" idx="2">
          <a:schemeClr val="accent2">
            <a:shade val="50000"/>
          </a:schemeClr>
        </a:lnRef>
        <a:fillRef xmlns:a="http://schemas.openxmlformats.org/drawingml/2006/main" idx="1">
          <a:schemeClr val="accent2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ysClr val="window" lastClr="FFFFFF"/>
              </a:solidFill>
              <a:latin typeface="Calibri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/>
            </a:defRPr>
          </a:lvl9pPr>
        </a:lstStyle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0.82011</cdr:x>
      <cdr:y>0.66767</cdr:y>
    </cdr:from>
    <cdr:to>
      <cdr:x>0.83145</cdr:x>
      <cdr:y>0.74277</cdr:y>
    </cdr:to>
    <cdr:sp macro="" textlink="">
      <cdr:nvSpPr>
        <cdr:cNvPr id="26" name="下箭头 25"/>
        <cdr:cNvSpPr/>
      </cdr:nvSpPr>
      <cdr:spPr>
        <a:xfrm xmlns:a="http://schemas.openxmlformats.org/drawingml/2006/main" flipV="1">
          <a:off x="5514975" y="2105025"/>
          <a:ext cx="76258" cy="236774"/>
        </a:xfrm>
        <a:prstGeom xmlns:a="http://schemas.openxmlformats.org/drawingml/2006/main" prst="downArrow">
          <a:avLst/>
        </a:prstGeom>
        <a:solidFill xmlns:a="http://schemas.openxmlformats.org/drawingml/2006/main">
          <a:srgbClr val="C0504D"/>
        </a:solidFill>
        <a:ln xmlns:a="http://schemas.openxmlformats.org/drawingml/2006/main" w="25400" cap="flat" cmpd="sng" algn="ctr">
          <a:solidFill>
            <a:srgbClr val="C0504D">
              <a:shade val="50000"/>
            </a:srgbClr>
          </a:solidFill>
          <a:prstDash val="solid"/>
        </a:ln>
        <a:effectLst xmlns:a="http://schemas.openxmlformats.org/drawingml/2006/main"/>
      </cdr:spPr>
      <cdr:style>
        <a:lnRef xmlns:a="http://schemas.openxmlformats.org/drawingml/2006/main" idx="2">
          <a:schemeClr val="accent2">
            <a:shade val="50000"/>
          </a:schemeClr>
        </a:lnRef>
        <a:fillRef xmlns:a="http://schemas.openxmlformats.org/drawingml/2006/main" idx="1">
          <a:schemeClr val="accent2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ysClr val="window" lastClr="FFFFFF"/>
              </a:solidFill>
              <a:latin typeface="Calibri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/>
            </a:defRPr>
          </a:lvl9pPr>
        </a:lstStyle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0.68697</cdr:x>
      <cdr:y>0.59819</cdr:y>
    </cdr:from>
    <cdr:to>
      <cdr:x>0.69831</cdr:x>
      <cdr:y>0.67329</cdr:y>
    </cdr:to>
    <cdr:sp macro="" textlink="">
      <cdr:nvSpPr>
        <cdr:cNvPr id="30" name="下箭头 29"/>
        <cdr:cNvSpPr/>
      </cdr:nvSpPr>
      <cdr:spPr>
        <a:xfrm xmlns:a="http://schemas.openxmlformats.org/drawingml/2006/main" flipV="1">
          <a:off x="4619625" y="1885950"/>
          <a:ext cx="76258" cy="236774"/>
        </a:xfrm>
        <a:prstGeom xmlns:a="http://schemas.openxmlformats.org/drawingml/2006/main" prst="downArrow">
          <a:avLst/>
        </a:prstGeom>
        <a:solidFill xmlns:a="http://schemas.openxmlformats.org/drawingml/2006/main">
          <a:srgbClr val="C0504D"/>
        </a:solidFill>
        <a:ln xmlns:a="http://schemas.openxmlformats.org/drawingml/2006/main" w="25400" cap="flat" cmpd="sng" algn="ctr">
          <a:solidFill>
            <a:srgbClr val="C0504D">
              <a:shade val="50000"/>
            </a:srgbClr>
          </a:solidFill>
          <a:prstDash val="solid"/>
        </a:ln>
        <a:effectLst xmlns:a="http://schemas.openxmlformats.org/drawingml/2006/main"/>
      </cdr:spPr>
      <cdr:style>
        <a:lnRef xmlns:a="http://schemas.openxmlformats.org/drawingml/2006/main" idx="2">
          <a:schemeClr val="accent2">
            <a:shade val="50000"/>
          </a:schemeClr>
        </a:lnRef>
        <a:fillRef xmlns:a="http://schemas.openxmlformats.org/drawingml/2006/main" idx="1">
          <a:schemeClr val="accent2"/>
        </a:fillRef>
        <a:effectRef xmlns:a="http://schemas.openxmlformats.org/drawingml/2006/main" idx="0">
          <a:schemeClr val="accent2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ysClr val="window" lastClr="FFFFFF"/>
              </a:solidFill>
              <a:latin typeface="Calibri"/>
            </a:defRPr>
          </a:lvl1pPr>
          <a:lvl2pPr marL="457200" indent="0">
            <a:defRPr sz="1100">
              <a:solidFill>
                <a:sysClr val="window" lastClr="FFFFFF"/>
              </a:solidFill>
              <a:latin typeface="Calibri"/>
            </a:defRPr>
          </a:lvl2pPr>
          <a:lvl3pPr marL="914400" indent="0">
            <a:defRPr sz="1100">
              <a:solidFill>
                <a:sysClr val="window" lastClr="FFFFFF"/>
              </a:solidFill>
              <a:latin typeface="Calibri"/>
            </a:defRPr>
          </a:lvl3pPr>
          <a:lvl4pPr marL="1371600" indent="0">
            <a:defRPr sz="1100">
              <a:solidFill>
                <a:sysClr val="window" lastClr="FFFFFF"/>
              </a:solidFill>
              <a:latin typeface="Calibri"/>
            </a:defRPr>
          </a:lvl4pPr>
          <a:lvl5pPr marL="1828800" indent="0">
            <a:defRPr sz="1100">
              <a:solidFill>
                <a:sysClr val="window" lastClr="FFFFFF"/>
              </a:solidFill>
              <a:latin typeface="Calibri"/>
            </a:defRPr>
          </a:lvl5pPr>
          <a:lvl6pPr marL="2286000" indent="0">
            <a:defRPr sz="1100">
              <a:solidFill>
                <a:sysClr val="window" lastClr="FFFFFF"/>
              </a:solidFill>
              <a:latin typeface="Calibri"/>
            </a:defRPr>
          </a:lvl6pPr>
          <a:lvl7pPr marL="2743200" indent="0">
            <a:defRPr sz="1100">
              <a:solidFill>
                <a:sysClr val="window" lastClr="FFFFFF"/>
              </a:solidFill>
              <a:latin typeface="Calibri"/>
            </a:defRPr>
          </a:lvl7pPr>
          <a:lvl8pPr marL="3200400" indent="0">
            <a:defRPr sz="1100">
              <a:solidFill>
                <a:sysClr val="window" lastClr="FFFFFF"/>
              </a:solidFill>
              <a:latin typeface="Calibri"/>
            </a:defRPr>
          </a:lvl8pPr>
          <a:lvl9pPr marL="3657600" indent="0">
            <a:defRPr sz="1100">
              <a:solidFill>
                <a:sysClr val="window" lastClr="FFFFFF"/>
              </a:solidFill>
              <a:latin typeface="Calibri"/>
            </a:defRPr>
          </a:lvl9pPr>
        </a:lstStyle>
        <a:p xmlns:a="http://schemas.openxmlformats.org/drawingml/2006/main">
          <a:endParaRPr lang="zh-CN" altLang="en-US"/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5B4252-B14C-4A2A-A863-18C165A65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282</Words>
  <Characters>1608</Characters>
  <Application>Microsoft Office Word</Application>
  <DocSecurity>0</DocSecurity>
  <Lines>13</Lines>
  <Paragraphs>3</Paragraphs>
  <ScaleCrop>false</ScaleCrop>
  <Company>P R C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 监测概况</dc:title>
  <dc:creator>ton</dc:creator>
  <cp:lastModifiedBy>dyw1</cp:lastModifiedBy>
  <cp:revision>16</cp:revision>
  <cp:lastPrinted>2014-05-23T07:21:00Z</cp:lastPrinted>
  <dcterms:created xsi:type="dcterms:W3CDTF">2024-01-10T02:30:00Z</dcterms:created>
  <dcterms:modified xsi:type="dcterms:W3CDTF">2024-05-27T02:17:00Z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F258D77F3D004CFD8F006C5079010616</vt:lpwstr>
  </property>
</Properties>
</file>