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default" w:ascii="Times New Roman" w:hAnsi="Times New Roman" w:eastAsia="黑体" w:cs="Times New Roman"/>
          <w:b w:val="0"/>
          <w:bCs w:val="0"/>
          <w:sz w:val="32"/>
          <w:szCs w:val="32"/>
          <w:highlight w:val="none"/>
          <w:lang w:val="en-US" w:eastAsia="zh-CN"/>
        </w:rPr>
      </w:pPr>
      <w:r>
        <w:rPr>
          <w:rFonts w:hint="eastAsia" w:ascii="Times New Roman" w:hAnsi="Times New Roman" w:eastAsia="黑体" w:cs="Times New Roman"/>
          <w:b w:val="0"/>
          <w:bCs w:val="0"/>
          <w:sz w:val="32"/>
          <w:szCs w:val="32"/>
          <w:highlight w:val="none"/>
          <w:lang w:val="en-US" w:eastAsia="zh-CN"/>
        </w:rPr>
        <w:t>附件2</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rPr>
      </w:pP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jc w:val="center"/>
        <w:textAlignment w:val="auto"/>
        <w:rPr>
          <w:rFonts w:hint="eastAsia" w:ascii="方正小标宋_GBK" w:hAnsi="方正小标宋_GBK" w:eastAsia="方正小标宋_GBK" w:cs="方正小标宋_GBK"/>
          <w:b w:val="0"/>
          <w:bCs w:val="0"/>
          <w:sz w:val="44"/>
          <w:szCs w:val="44"/>
          <w:highlight w:val="none"/>
          <w:lang w:val="en-US" w:eastAsia="zh-CN"/>
        </w:rPr>
      </w:pPr>
      <w:r>
        <w:rPr>
          <w:rFonts w:hint="eastAsia" w:ascii="方正小标宋_GBK" w:hAnsi="方正小标宋_GBK" w:eastAsia="方正小标宋_GBK" w:cs="方正小标宋_GBK"/>
          <w:b w:val="0"/>
          <w:bCs w:val="0"/>
          <w:sz w:val="44"/>
          <w:szCs w:val="44"/>
          <w:highlight w:val="none"/>
        </w:rPr>
        <w:t>关于</w:t>
      </w:r>
      <w:r>
        <w:rPr>
          <w:rFonts w:hint="eastAsia" w:ascii="方正小标宋_GBK" w:hAnsi="方正小标宋_GBK" w:eastAsia="方正小标宋_GBK" w:cs="方正小标宋_GBK"/>
          <w:b w:val="0"/>
          <w:bCs w:val="0"/>
          <w:sz w:val="44"/>
          <w:szCs w:val="44"/>
          <w:highlight w:val="none"/>
          <w:lang w:eastAsia="zh-CN"/>
        </w:rPr>
        <w:t>抽检</w:t>
      </w:r>
      <w:r>
        <w:rPr>
          <w:rFonts w:hint="eastAsia" w:ascii="方正小标宋_GBK" w:hAnsi="方正小标宋_GBK" w:eastAsia="方正小标宋_GBK" w:cs="方正小标宋_GBK"/>
          <w:b w:val="0"/>
          <w:bCs w:val="0"/>
          <w:sz w:val="44"/>
          <w:szCs w:val="44"/>
          <w:highlight w:val="none"/>
          <w:lang w:val="en-US" w:eastAsia="zh-CN"/>
        </w:rPr>
        <w:t>不合格</w:t>
      </w:r>
      <w:r>
        <w:rPr>
          <w:rFonts w:hint="eastAsia" w:ascii="方正小标宋_GBK" w:hAnsi="方正小标宋_GBK" w:eastAsia="方正小标宋_GBK" w:cs="方正小标宋_GBK"/>
          <w:b w:val="0"/>
          <w:bCs w:val="0"/>
          <w:sz w:val="44"/>
          <w:szCs w:val="44"/>
          <w:highlight w:val="none"/>
          <w:lang w:eastAsia="zh-CN"/>
        </w:rPr>
        <w:t>项目</w:t>
      </w:r>
      <w:r>
        <w:rPr>
          <w:rFonts w:hint="eastAsia" w:ascii="方正小标宋_GBK" w:hAnsi="方正小标宋_GBK" w:eastAsia="方正小标宋_GBK" w:cs="方正小标宋_GBK"/>
          <w:b w:val="0"/>
          <w:bCs w:val="0"/>
          <w:sz w:val="44"/>
          <w:szCs w:val="44"/>
          <w:highlight w:val="none"/>
        </w:rPr>
        <w:t>的</w:t>
      </w:r>
      <w:r>
        <w:rPr>
          <w:rFonts w:hint="eastAsia" w:ascii="方正小标宋_GBK" w:hAnsi="方正小标宋_GBK" w:eastAsia="方正小标宋_GBK" w:cs="方正小标宋_GBK"/>
          <w:b w:val="0"/>
          <w:bCs w:val="0"/>
          <w:sz w:val="44"/>
          <w:szCs w:val="44"/>
          <w:highlight w:val="none"/>
          <w:lang w:val="en-US" w:eastAsia="zh-CN"/>
        </w:rPr>
        <w:t>解读</w:t>
      </w:r>
    </w:p>
    <w:tbl>
      <w:tblPr>
        <w:tblStyle w:val="3"/>
        <w:tblpPr w:leftFromText="180" w:rightFromText="180" w:vertAnchor="text" w:horzAnchor="page" w:tblpX="1725" w:tblpY="554"/>
        <w:tblOverlap w:val="never"/>
        <w:tblW w:w="95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8"/>
        <w:gridCol w:w="1356"/>
        <w:gridCol w:w="1788"/>
        <w:gridCol w:w="1908"/>
        <w:gridCol w:w="1272"/>
        <w:gridCol w:w="1296"/>
        <w:gridCol w:w="14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488" w:type="dxa"/>
            <w:vAlign w:val="center"/>
          </w:tcPr>
          <w:p>
            <w:pPr>
              <w:spacing w:line="240" w:lineRule="auto"/>
              <w:jc w:val="center"/>
              <w:rPr>
                <w:rFonts w:hint="eastAsia" w:ascii="Times New Roman" w:hAnsi="Times New Roman" w:eastAsia="仿宋" w:cs="仿宋"/>
                <w:color w:val="auto"/>
                <w:szCs w:val="21"/>
              </w:rPr>
            </w:pPr>
            <w:r>
              <w:rPr>
                <w:rFonts w:hint="eastAsia" w:ascii="Times New Roman" w:hAnsi="Times New Roman" w:eastAsia="仿宋" w:cs="仿宋"/>
                <w:color w:val="auto"/>
                <w:szCs w:val="21"/>
              </w:rPr>
              <w:t>序号</w:t>
            </w:r>
          </w:p>
        </w:tc>
        <w:tc>
          <w:tcPr>
            <w:tcW w:w="1356" w:type="dxa"/>
            <w:vAlign w:val="center"/>
          </w:tcPr>
          <w:p>
            <w:pPr>
              <w:spacing w:line="240" w:lineRule="auto"/>
              <w:jc w:val="center"/>
              <w:rPr>
                <w:rFonts w:hint="eastAsia" w:ascii="Times New Roman" w:hAnsi="Times New Roman" w:eastAsia="仿宋" w:cs="仿宋"/>
                <w:color w:val="auto"/>
                <w:szCs w:val="21"/>
              </w:rPr>
            </w:pPr>
            <w:r>
              <w:rPr>
                <w:rFonts w:hint="eastAsia" w:ascii="Times New Roman" w:hAnsi="Times New Roman" w:eastAsia="仿宋" w:cs="仿宋"/>
                <w:color w:val="auto"/>
                <w:szCs w:val="21"/>
              </w:rPr>
              <w:t>样品</w:t>
            </w:r>
          </w:p>
          <w:p>
            <w:pPr>
              <w:spacing w:line="240" w:lineRule="auto"/>
              <w:jc w:val="center"/>
              <w:rPr>
                <w:rFonts w:hint="eastAsia" w:ascii="Times New Roman" w:hAnsi="Times New Roman" w:eastAsia="仿宋" w:cs="仿宋"/>
                <w:color w:val="auto"/>
                <w:szCs w:val="21"/>
              </w:rPr>
            </w:pPr>
            <w:r>
              <w:rPr>
                <w:rFonts w:hint="eastAsia" w:ascii="Times New Roman" w:hAnsi="Times New Roman" w:eastAsia="仿宋" w:cs="仿宋"/>
                <w:color w:val="auto"/>
                <w:szCs w:val="21"/>
              </w:rPr>
              <w:t>名称</w:t>
            </w:r>
          </w:p>
        </w:tc>
        <w:tc>
          <w:tcPr>
            <w:tcW w:w="1788" w:type="dxa"/>
            <w:vAlign w:val="center"/>
          </w:tcPr>
          <w:p>
            <w:pPr>
              <w:spacing w:line="490" w:lineRule="exact"/>
              <w:jc w:val="center"/>
              <w:rPr>
                <w:rFonts w:hint="eastAsia" w:ascii="Times New Roman" w:hAnsi="Times New Roman" w:eastAsia="仿宋" w:cs="仿宋"/>
                <w:color w:val="auto"/>
                <w:szCs w:val="21"/>
              </w:rPr>
            </w:pPr>
            <w:r>
              <w:rPr>
                <w:rFonts w:hint="eastAsia" w:ascii="Times New Roman" w:hAnsi="Times New Roman" w:eastAsia="仿宋" w:cs="仿宋"/>
                <w:color w:val="auto"/>
                <w:szCs w:val="21"/>
              </w:rPr>
              <w:t>被抽样单位名称</w:t>
            </w:r>
          </w:p>
        </w:tc>
        <w:tc>
          <w:tcPr>
            <w:tcW w:w="1908" w:type="dxa"/>
            <w:vAlign w:val="center"/>
          </w:tcPr>
          <w:p>
            <w:pPr>
              <w:spacing w:line="490" w:lineRule="exact"/>
              <w:jc w:val="center"/>
              <w:rPr>
                <w:rFonts w:hint="eastAsia" w:ascii="Times New Roman" w:hAnsi="Times New Roman" w:eastAsia="仿宋" w:cs="仿宋"/>
                <w:color w:val="auto"/>
                <w:szCs w:val="21"/>
              </w:rPr>
            </w:pPr>
            <w:r>
              <w:rPr>
                <w:rFonts w:hint="eastAsia" w:ascii="Times New Roman" w:hAnsi="Times New Roman" w:eastAsia="仿宋" w:cs="仿宋"/>
                <w:color w:val="auto"/>
                <w:szCs w:val="21"/>
              </w:rPr>
              <w:t>被抽样单位地址</w:t>
            </w:r>
          </w:p>
        </w:tc>
        <w:tc>
          <w:tcPr>
            <w:tcW w:w="1272" w:type="dxa"/>
            <w:vAlign w:val="center"/>
          </w:tcPr>
          <w:p>
            <w:pPr>
              <w:spacing w:line="490" w:lineRule="exact"/>
              <w:jc w:val="center"/>
              <w:rPr>
                <w:rFonts w:hint="eastAsia" w:ascii="Times New Roman" w:hAnsi="Times New Roman" w:eastAsia="仿宋" w:cs="仿宋"/>
                <w:color w:val="auto"/>
                <w:szCs w:val="21"/>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检验项目</w:t>
            </w:r>
          </w:p>
        </w:tc>
        <w:tc>
          <w:tcPr>
            <w:tcW w:w="1296" w:type="dxa"/>
            <w:vAlign w:val="center"/>
          </w:tcPr>
          <w:p>
            <w:pPr>
              <w:spacing w:line="490" w:lineRule="exact"/>
              <w:jc w:val="center"/>
              <w:rPr>
                <w:rFonts w:hint="eastAsia" w:ascii="Times New Roman" w:hAnsi="Times New Roman" w:eastAsia="仿宋" w:cs="仿宋"/>
                <w:color w:val="auto"/>
                <w:szCs w:val="21"/>
              </w:rPr>
            </w:pPr>
            <w:r>
              <w:rPr>
                <w:rFonts w:hint="eastAsia" w:ascii="Times New Roman" w:hAnsi="Times New Roman" w:eastAsia="仿宋" w:cs="仿宋"/>
                <w:color w:val="auto"/>
                <w:szCs w:val="21"/>
              </w:rPr>
              <w:t>检测结果</w:t>
            </w:r>
          </w:p>
        </w:tc>
        <w:tc>
          <w:tcPr>
            <w:tcW w:w="1449" w:type="dxa"/>
            <w:vAlign w:val="center"/>
          </w:tcPr>
          <w:p>
            <w:pPr>
              <w:spacing w:line="240" w:lineRule="auto"/>
              <w:jc w:val="center"/>
              <w:rPr>
                <w:rFonts w:hint="eastAsia" w:ascii="Times New Roman" w:hAnsi="Times New Roman" w:eastAsia="仿宋" w:cs="仿宋"/>
                <w:color w:val="auto"/>
                <w:szCs w:val="21"/>
              </w:rPr>
            </w:pPr>
            <w:r>
              <w:rPr>
                <w:rFonts w:hint="eastAsia" w:ascii="宋体" w:hAnsi="宋体" w:eastAsia="宋体" w:cs="宋体"/>
                <w:i w:val="0"/>
                <w:iCs w:val="0"/>
                <w:color w:val="000000" w:themeColor="text1"/>
                <w:kern w:val="0"/>
                <w:sz w:val="20"/>
                <w:szCs w:val="20"/>
                <w:u w:val="none"/>
                <w:vertAlign w:val="baseline"/>
                <w:lang w:val="en-US" w:eastAsia="zh-CN" w:bidi="ar"/>
                <w14:textFill>
                  <w14:solidFill>
                    <w14:schemeClr w14:val="tx1"/>
                  </w14:solidFill>
                </w14:textFill>
              </w:rPr>
              <w:t>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8" w:type="dxa"/>
            <w:vAlign w:val="center"/>
          </w:tcPr>
          <w:p>
            <w:pPr>
              <w:spacing w:line="490" w:lineRule="exact"/>
              <w:jc w:val="center"/>
              <w:rPr>
                <w:rFonts w:hint="eastAsia" w:ascii="Times New Roman" w:hAnsi="Times New Roman" w:eastAsia="仿宋" w:cs="仿宋"/>
                <w:color w:val="auto"/>
                <w:szCs w:val="21"/>
              </w:rPr>
            </w:pPr>
            <w:r>
              <w:rPr>
                <w:rFonts w:hint="eastAsia" w:ascii="Times New Roman" w:hAnsi="Times New Roman" w:eastAsia="仿宋" w:cs="仿宋"/>
                <w:color w:val="auto"/>
                <w:szCs w:val="21"/>
              </w:rPr>
              <w:t>1</w:t>
            </w:r>
          </w:p>
        </w:tc>
        <w:tc>
          <w:tcPr>
            <w:tcW w:w="1356" w:type="dxa"/>
            <w:vAlign w:val="center"/>
          </w:tcPr>
          <w:p>
            <w:pPr>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番鸭</w:t>
            </w:r>
          </w:p>
        </w:tc>
        <w:tc>
          <w:tcPr>
            <w:tcW w:w="1788" w:type="dxa"/>
            <w:vMerge w:val="restart"/>
            <w:vAlign w:val="center"/>
          </w:tcPr>
          <w:p>
            <w:pPr>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惠州大亚湾强仔生鲜家禽店</w:t>
            </w:r>
          </w:p>
        </w:tc>
        <w:tc>
          <w:tcPr>
            <w:tcW w:w="1908" w:type="dxa"/>
            <w:vMerge w:val="restart"/>
            <w:vAlign w:val="center"/>
          </w:tcPr>
          <w:p>
            <w:pPr>
              <w:jc w:val="center"/>
              <w:rPr>
                <w:rFonts w:hint="default" w:ascii="仿宋" w:hAnsi="仿宋" w:eastAsia="仿宋" w:cs="仿宋"/>
                <w:color w:val="auto"/>
                <w:szCs w:val="21"/>
                <w:lang w:val="en-US" w:eastAsia="zh-CN"/>
              </w:rPr>
            </w:pPr>
            <w:r>
              <w:rPr>
                <w:rFonts w:hint="default" w:ascii="仿宋" w:hAnsi="仿宋" w:eastAsia="仿宋" w:cs="仿宋"/>
                <w:color w:val="auto"/>
                <w:szCs w:val="21"/>
                <w:lang w:val="en-US" w:eastAsia="zh-CN"/>
              </w:rPr>
              <w:t>惠州大亚湾</w:t>
            </w:r>
            <w:r>
              <w:rPr>
                <w:rFonts w:hint="eastAsia" w:ascii="仿宋" w:hAnsi="仿宋" w:eastAsia="仿宋" w:cs="仿宋"/>
                <w:color w:val="auto"/>
                <w:szCs w:val="21"/>
                <w:lang w:val="en-US" w:eastAsia="zh-CN"/>
              </w:rPr>
              <w:t>澳头大温坝农贸市场生鲜区10号档</w:t>
            </w:r>
          </w:p>
        </w:tc>
        <w:tc>
          <w:tcPr>
            <w:tcW w:w="1272" w:type="dxa"/>
            <w:vAlign w:val="center"/>
          </w:tcPr>
          <w:p>
            <w:pPr>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磺胺类总量</w:t>
            </w:r>
          </w:p>
        </w:tc>
        <w:tc>
          <w:tcPr>
            <w:tcW w:w="1296" w:type="dxa"/>
            <w:vAlign w:val="center"/>
          </w:tcPr>
          <w:p>
            <w:pPr>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1316.58 µg/kg</w:t>
            </w:r>
          </w:p>
        </w:tc>
        <w:tc>
          <w:tcPr>
            <w:tcW w:w="1449" w:type="dxa"/>
            <w:vAlign w:val="center"/>
          </w:tcPr>
          <w:p>
            <w:pPr>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≤100 µg/kg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488" w:type="dxa"/>
            <w:vAlign w:val="center"/>
          </w:tcPr>
          <w:p>
            <w:pPr>
              <w:spacing w:line="490" w:lineRule="exact"/>
              <w:jc w:val="center"/>
              <w:rPr>
                <w:rFonts w:hint="eastAsia" w:ascii="Times New Roman" w:hAnsi="Times New Roman" w:eastAsia="仿宋" w:cs="仿宋"/>
                <w:color w:val="auto"/>
                <w:szCs w:val="21"/>
                <w:lang w:val="en-US" w:eastAsia="zh-CN"/>
              </w:rPr>
            </w:pPr>
            <w:r>
              <w:rPr>
                <w:rFonts w:hint="eastAsia" w:ascii="Times New Roman" w:hAnsi="Times New Roman" w:eastAsia="仿宋" w:cs="仿宋"/>
                <w:color w:val="auto"/>
                <w:szCs w:val="21"/>
                <w:lang w:val="en-US" w:eastAsia="zh-CN"/>
              </w:rPr>
              <w:t>2</w:t>
            </w:r>
          </w:p>
        </w:tc>
        <w:tc>
          <w:tcPr>
            <w:tcW w:w="1356" w:type="dxa"/>
            <w:vAlign w:val="center"/>
          </w:tcPr>
          <w:p>
            <w:pPr>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泥鸭</w:t>
            </w:r>
          </w:p>
        </w:tc>
        <w:tc>
          <w:tcPr>
            <w:tcW w:w="1788" w:type="dxa"/>
            <w:vMerge w:val="continue"/>
            <w:vAlign w:val="center"/>
          </w:tcPr>
          <w:p>
            <w:pPr>
              <w:jc w:val="center"/>
              <w:rPr>
                <w:rFonts w:hint="eastAsia" w:ascii="仿宋" w:hAnsi="仿宋" w:eastAsia="仿宋" w:cs="仿宋"/>
                <w:color w:val="auto"/>
                <w:szCs w:val="21"/>
                <w:lang w:val="en-US" w:eastAsia="zh-CN"/>
              </w:rPr>
            </w:pPr>
          </w:p>
        </w:tc>
        <w:tc>
          <w:tcPr>
            <w:tcW w:w="1908" w:type="dxa"/>
            <w:vMerge w:val="continue"/>
            <w:vAlign w:val="center"/>
          </w:tcPr>
          <w:p>
            <w:pPr>
              <w:jc w:val="center"/>
              <w:rPr>
                <w:rFonts w:hint="default" w:ascii="仿宋" w:hAnsi="仿宋" w:eastAsia="仿宋" w:cs="仿宋"/>
                <w:color w:val="auto"/>
                <w:szCs w:val="21"/>
                <w:lang w:val="en-US" w:eastAsia="zh-CN"/>
              </w:rPr>
            </w:pPr>
          </w:p>
        </w:tc>
        <w:tc>
          <w:tcPr>
            <w:tcW w:w="1272" w:type="dxa"/>
            <w:vAlign w:val="center"/>
          </w:tcPr>
          <w:p>
            <w:pPr>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磺胺类总量</w:t>
            </w:r>
          </w:p>
        </w:tc>
        <w:tc>
          <w:tcPr>
            <w:tcW w:w="1296" w:type="dxa"/>
            <w:vAlign w:val="center"/>
          </w:tcPr>
          <w:p>
            <w:pPr>
              <w:jc w:val="center"/>
              <w:rPr>
                <w:rFonts w:hint="default" w:ascii="Times New Roman" w:hAnsi="Times New Roman" w:eastAsia="仿宋" w:cs="Times New Roman"/>
                <w:color w:val="auto"/>
                <w:szCs w:val="21"/>
                <w:lang w:val="en-US" w:eastAsia="zh-CN"/>
              </w:rPr>
            </w:pPr>
            <w:r>
              <w:rPr>
                <w:rFonts w:hint="eastAsia" w:ascii="仿宋" w:hAnsi="仿宋" w:eastAsia="仿宋" w:cs="仿宋"/>
                <w:color w:val="auto"/>
                <w:szCs w:val="21"/>
                <w:lang w:val="en-US" w:eastAsia="zh-CN"/>
              </w:rPr>
              <w:t>1400.31µg/kg</w:t>
            </w:r>
          </w:p>
        </w:tc>
        <w:tc>
          <w:tcPr>
            <w:tcW w:w="1449" w:type="dxa"/>
            <w:vAlign w:val="center"/>
          </w:tcPr>
          <w:p>
            <w:pPr>
              <w:jc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≤100 µg/kg</w:t>
            </w:r>
          </w:p>
        </w:tc>
      </w:tr>
    </w:tbl>
    <w:p>
      <w:pPr>
        <w:rPr>
          <w:rFonts w:hint="default" w:ascii="宋体" w:hAnsi="宋体" w:eastAsia="宋体" w:cs="宋体"/>
          <w:color w:val="000000" w:themeColor="text1"/>
          <w:kern w:val="0"/>
          <w:sz w:val="24"/>
          <w:szCs w:val="24"/>
          <w:lang w:val="en-US" w:eastAsia="zh-CN" w:bidi="ar"/>
          <w14:textFill>
            <w14:solidFill>
              <w14:schemeClr w14:val="tx1"/>
            </w14:solidFill>
          </w14:textFill>
        </w:rPr>
      </w:pPr>
      <w:bookmarkStart w:id="0" w:name="_GoBack"/>
      <w:bookmarkEnd w:id="0"/>
    </w:p>
    <w:p>
      <w:pPr>
        <w:keepNext w:val="0"/>
        <w:keepLines w:val="0"/>
        <w:pageBreakBefore w:val="0"/>
        <w:widowControl/>
        <w:numPr>
          <w:ilvl w:val="0"/>
          <w:numId w:val="1"/>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磺胺类总量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磺胺类药物是一种人工合成的抗菌谱较广、性质稳定、使用简便的抗菌药，对大多数革兰氏阳性菌和阴性菌都有较强抑制作用。根据《食品安全国家标准 食品中兽药最大残留限量》（GB 31650—2019）中规定，磺胺类总量在鸭肉中的最大残留限量为≤100µg/kg。</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磺胺类药物在畜牧生产中应用十分广泛，主要在动物疾病防治方面有显著的疗效，可以治疗</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"https://baike.so.com/doc/5901514-6114413.html"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禽霍乱</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"https://baike.so.com/doc/5901152-6114051.html"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禽伤寒</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"https://baike.so.com/doc/5901160-6114059.html"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禽副伤寒</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"https://baike.so.com/doc/5901448-6114347.html"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禽白痢</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"https://baike.so.com/doc/6241990-6455384.html"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鸡传染性鼻炎</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、火鸡亚利桑那病等，此外对家禽各种</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"https://baike.so.com/doc/5911175-6124083.html"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球虫病</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、卡氏白细胞原虫病等，也有较好效果。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磺胺类药物虽然应用广泛，但与此同时，这类药物显著的毒副作用也引起了人们的广泛关注。例如:影响泌尿系统功能，引起</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"https://baike.so.com/doc/6807233-7024184.html"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结晶尿</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"https://baike.so.com/doc/5368498-5604314.html"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血尿</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等反应及致癌性。磺胺类药物吸收后分布于全身各组织中，以血、肝、肾含量最高。且与</w:t>
      </w:r>
      <w:r>
        <w:rPr>
          <w:rFonts w:hint="default" w:ascii="Times New Roman" w:hAnsi="Times New Roman" w:eastAsia="仿宋_GB2312" w:cs="Times New Roman"/>
          <w:b w:val="0"/>
          <w:bCs w:val="0"/>
          <w:kern w:val="2"/>
          <w:sz w:val="32"/>
          <w:szCs w:val="32"/>
          <w:lang w:val="en-US" w:eastAsia="zh-CN" w:bidi="ar-SA"/>
        </w:rPr>
        <w:fldChar w:fldCharType="begin"/>
      </w:r>
      <w:r>
        <w:rPr>
          <w:rFonts w:hint="default" w:ascii="Times New Roman" w:hAnsi="Times New Roman" w:eastAsia="仿宋_GB2312" w:cs="Times New Roman"/>
          <w:b w:val="0"/>
          <w:bCs w:val="0"/>
          <w:kern w:val="2"/>
          <w:sz w:val="32"/>
          <w:szCs w:val="32"/>
          <w:lang w:val="en-US" w:eastAsia="zh-CN" w:bidi="ar-SA"/>
        </w:rPr>
        <w:instrText xml:space="preserve"> HYPERLINK "https://baike.so.com/doc/5742621-5955374.html" \t "https://baike.so.com/doc/_blank" </w:instrText>
      </w:r>
      <w:r>
        <w:rPr>
          <w:rFonts w:hint="default" w:ascii="Times New Roman" w:hAnsi="Times New Roman" w:eastAsia="仿宋_GB2312" w:cs="Times New Roman"/>
          <w:b w:val="0"/>
          <w:bCs w:val="0"/>
          <w:kern w:val="2"/>
          <w:sz w:val="32"/>
          <w:szCs w:val="32"/>
          <w:lang w:val="en-US" w:eastAsia="zh-CN" w:bidi="ar-SA"/>
        </w:rPr>
        <w:fldChar w:fldCharType="separate"/>
      </w:r>
      <w:r>
        <w:rPr>
          <w:rFonts w:hint="default" w:ascii="Times New Roman" w:hAnsi="Times New Roman" w:eastAsia="仿宋_GB2312" w:cs="Times New Roman"/>
          <w:b w:val="0"/>
          <w:bCs w:val="0"/>
          <w:kern w:val="2"/>
          <w:sz w:val="32"/>
          <w:szCs w:val="32"/>
          <w:lang w:val="en-US" w:eastAsia="zh-CN" w:bidi="ar-SA"/>
        </w:rPr>
        <w:t>血浆蛋白</w:t>
      </w:r>
      <w:r>
        <w:rPr>
          <w:rFonts w:hint="default" w:ascii="Times New Roman" w:hAnsi="Times New Roman" w:eastAsia="仿宋_GB2312" w:cs="Times New Roman"/>
          <w:b w:val="0"/>
          <w:bCs w:val="0"/>
          <w:kern w:val="2"/>
          <w:sz w:val="32"/>
          <w:szCs w:val="32"/>
          <w:lang w:val="en-US" w:eastAsia="zh-CN" w:bidi="ar-SA"/>
        </w:rPr>
        <w:fldChar w:fldCharType="end"/>
      </w:r>
      <w:r>
        <w:rPr>
          <w:rFonts w:hint="default" w:ascii="Times New Roman" w:hAnsi="Times New Roman" w:eastAsia="仿宋_GB2312" w:cs="Times New Roman"/>
          <w:b w:val="0"/>
          <w:bCs w:val="0"/>
          <w:kern w:val="2"/>
          <w:sz w:val="32"/>
          <w:szCs w:val="32"/>
          <w:lang w:val="en-US" w:eastAsia="zh-CN" w:bidi="ar-SA"/>
        </w:rPr>
        <w:t>结合率高，所以在体内维持时间长。还能透入脑膜积液和其他积液，以及通过胎盘进入胎循环，对孕妇及婴儿及其不利，还易在尿中析出结晶，导致结石而损害肾脏</w:t>
      </w:r>
      <w:r>
        <w:rPr>
          <w:rFonts w:hint="eastAsia" w:ascii="Times New Roman" w:hAnsi="Times New Roman" w:eastAsia="仿宋_GB2312" w:cs="Times New Roman"/>
          <w:b w:val="0"/>
          <w:bCs w:val="0"/>
          <w:kern w:val="2"/>
          <w:sz w:val="32"/>
          <w:szCs w:val="32"/>
          <w:lang w:val="en-US" w:eastAsia="zh-CN" w:bidi="ar-SA"/>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 磺胺类（总量）超标的主要原因可能是畜牧养殖过程中为控制疾病超量使用或不遵循休药期规定。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仿宋_GB2312" w:cs="Times New Roman"/>
          <w:b w:val="0"/>
          <w:bCs w:val="0"/>
          <w:kern w:val="2"/>
          <w:sz w:val="32"/>
          <w:szCs w:val="32"/>
          <w:lang w:val="en-US" w:eastAsia="zh-CN" w:bidi="ar-SA"/>
        </w:rPr>
      </w:pPr>
      <w:r>
        <w:rPr>
          <w:rFonts w:hint="eastAsia" w:ascii="Times New Roman" w:hAnsi="Times New Roman" w:eastAsia="仿宋_GB2312" w:cs="Times New Roman"/>
          <w:b w:val="0"/>
          <w:bCs w:val="0"/>
          <w:kern w:val="2"/>
          <w:sz w:val="32"/>
          <w:szCs w:val="32"/>
          <w:lang w:val="en-US" w:eastAsia="zh-CN" w:bidi="ar-SA"/>
        </w:rPr>
        <w:t xml:space="preserve"> </w:t>
      </w:r>
    </w:p>
    <w:p>
      <w:pPr>
        <w:ind w:firstLine="1440" w:firstLineChars="600"/>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pStyle w:val="2"/>
        <w:rPr>
          <w:rFonts w:hint="default"/>
          <w:lang w:val="en-US" w:eastAsia="zh-CN"/>
        </w:rPr>
      </w:pPr>
    </w:p>
    <w:p>
      <w:pPr>
        <w:rPr>
          <w:rFonts w:hint="default" w:ascii="宋体" w:hAnsi="宋体" w:eastAsia="宋体" w:cs="宋体"/>
          <w:color w:val="000000" w:themeColor="text1"/>
          <w:kern w:val="0"/>
          <w:sz w:val="24"/>
          <w:szCs w:val="24"/>
          <w:lang w:val="en-US" w:eastAsia="zh-CN" w:bidi="ar"/>
          <w14:textFill>
            <w14:solidFill>
              <w14:schemeClr w14:val="tx1"/>
            </w14:solidFill>
          </w14:textFill>
        </w:rPr>
      </w:pPr>
    </w:p>
    <w:p>
      <w:pPr>
        <w:pStyle w:val="2"/>
        <w:rPr>
          <w:rFonts w:hint="default" w:ascii="宋体" w:hAnsi="宋体" w:eastAsia="宋体" w:cs="宋体"/>
          <w:color w:val="000000" w:themeColor="text1"/>
          <w:kern w:val="0"/>
          <w:sz w:val="24"/>
          <w:szCs w:val="24"/>
          <w:lang w:val="en-US" w:eastAsia="zh-CN" w:bidi="ar"/>
          <w14:textFill>
            <w14:solidFill>
              <w14:schemeClr w14:val="tx1"/>
            </w14:solidFill>
          </w14:textFill>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8B9B4A"/>
    <w:multiLevelType w:val="singleLevel"/>
    <w:tmpl w:val="1F8B9B4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2OTQ1MTMzNWFiNzMxYWVkYTZmNGJkYTk2YzhhZmQifQ=="/>
  </w:docVars>
  <w:rsids>
    <w:rsidRoot w:val="352A30F2"/>
    <w:rsid w:val="0DE276B7"/>
    <w:rsid w:val="13DE184E"/>
    <w:rsid w:val="3279792D"/>
    <w:rsid w:val="352A30F2"/>
    <w:rsid w:val="394E71A9"/>
    <w:rsid w:val="3FD40E18"/>
    <w:rsid w:val="47B341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宋体"/>
      <w:sz w:val="21"/>
      <w:szCs w:val="21"/>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1133</Words>
  <Characters>1375</Characters>
  <Lines>0</Lines>
  <Paragraphs>0</Paragraphs>
  <TotalTime>0</TotalTime>
  <ScaleCrop>false</ScaleCrop>
  <LinksUpToDate>false</LinksUpToDate>
  <CharactersWithSpaces>1454</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2024-06-21T00:53:00Z</dcterms:created>
  <dc:creator>邓小羊</dc:creator>
  <cp:lastModifiedBy>谭文婷</cp:lastModifiedBy>
  <dcterms:modified xsi:type="dcterms:W3CDTF">2024-07-23T08:17:52Z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A16F088548914DDAAFB237BBEAAB56C0_11</vt:lpwstr>
  </property>
</Properties>
</file>