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hd w:val="clear" w:color="auto" w:fill="FFFFFF"/>
        <w:kinsoku/>
        <w:wordWrap/>
        <w:overflowPunct/>
        <w:topLinePunct w:val="0"/>
        <w:autoSpaceDE/>
        <w:autoSpaceDN/>
        <w:bidi w:val="0"/>
        <w:adjustRightInd/>
        <w:snapToGrid w:val="0"/>
        <w:spacing w:line="560" w:lineRule="exact"/>
        <w:jc w:val="left"/>
        <w:textAlignment w:val="auto"/>
        <w:rPr>
          <w:rFonts w:hint="eastAsia" w:ascii="Times New Roman" w:hAnsi="Times New Roman" w:eastAsia="黑体" w:cs="Times New Roman"/>
          <w:b w:val="0"/>
          <w:bCs w:val="0"/>
          <w:sz w:val="32"/>
          <w:szCs w:val="32"/>
          <w:highlight w:val="none"/>
          <w:lang w:val="en-US" w:eastAsia="zh-CN"/>
        </w:rPr>
      </w:pPr>
      <w:r>
        <w:rPr>
          <w:rFonts w:hint="default" w:ascii="Times New Roman" w:hAnsi="Times New Roman" w:eastAsia="黑体" w:cs="Times New Roman"/>
          <w:b w:val="0"/>
          <w:bCs w:val="0"/>
          <w:sz w:val="32"/>
          <w:szCs w:val="32"/>
          <w:highlight w:val="none"/>
          <w:lang w:eastAsia="zh-CN"/>
        </w:rPr>
        <w:t>附件</w:t>
      </w:r>
      <w:r>
        <w:rPr>
          <w:rFonts w:hint="eastAsia" w:ascii="Times New Roman" w:hAnsi="Times New Roman" w:eastAsia="黑体" w:cs="Times New Roman"/>
          <w:b w:val="0"/>
          <w:bCs w:val="0"/>
          <w:sz w:val="32"/>
          <w:szCs w:val="32"/>
          <w:highlight w:val="none"/>
          <w:lang w:val="en-US" w:eastAsia="zh-CN"/>
        </w:rPr>
        <w:t>2</w:t>
      </w:r>
    </w:p>
    <w:p>
      <w:pPr>
        <w:pStyle w:val="3"/>
        <w:keepNext w:val="0"/>
        <w:keepLines w:val="0"/>
        <w:pageBreakBefore w:val="0"/>
        <w:kinsoku/>
        <w:wordWrap/>
        <w:overflowPunct/>
        <w:topLinePunct w:val="0"/>
        <w:autoSpaceDE/>
        <w:autoSpaceDN/>
        <w:bidi w:val="0"/>
        <w:adjustRightInd/>
        <w:spacing w:line="560" w:lineRule="exact"/>
        <w:textAlignment w:val="auto"/>
        <w:rPr>
          <w:rFonts w:hint="default"/>
          <w:lang w:val="en-US" w:eastAsia="zh-CN"/>
        </w:rPr>
      </w:pPr>
    </w:p>
    <w:p>
      <w:pPr>
        <w:keepNext w:val="0"/>
        <w:keepLines w:val="0"/>
        <w:pageBreakBefore w:val="0"/>
        <w:widowControl/>
        <w:shd w:val="clear" w:color="auto" w:fill="FFFFFF"/>
        <w:kinsoku/>
        <w:wordWrap/>
        <w:overflowPunct/>
        <w:topLinePunct w:val="0"/>
        <w:autoSpaceDE/>
        <w:autoSpaceDN/>
        <w:bidi w:val="0"/>
        <w:adjustRightInd/>
        <w:snapToGrid w:val="0"/>
        <w:spacing w:line="560" w:lineRule="exact"/>
        <w:jc w:val="center"/>
        <w:textAlignment w:val="auto"/>
        <w:rPr>
          <w:rFonts w:hint="eastAsia" w:ascii="方正小标宋简体" w:hAnsi="仿宋" w:eastAsia="方正小标宋_GBK" w:cs="仿宋"/>
          <w:b w:val="0"/>
          <w:bCs w:val="0"/>
          <w:sz w:val="44"/>
          <w:szCs w:val="44"/>
          <w:highlight w:val="none"/>
          <w:lang w:eastAsia="zh-CN"/>
        </w:rPr>
      </w:pPr>
      <w:r>
        <w:rPr>
          <w:rFonts w:hint="eastAsia" w:ascii="方正小标宋_GBK" w:hAnsi="方正小标宋_GBK" w:eastAsia="方正小标宋_GBK" w:cs="方正小标宋_GBK"/>
          <w:b w:val="0"/>
          <w:bCs w:val="0"/>
          <w:sz w:val="44"/>
          <w:szCs w:val="44"/>
          <w:highlight w:val="none"/>
        </w:rPr>
        <w:t>关于</w:t>
      </w:r>
      <w:r>
        <w:rPr>
          <w:rFonts w:hint="eastAsia" w:ascii="方正小标宋_GBK" w:hAnsi="方正小标宋_GBK" w:eastAsia="方正小标宋_GBK" w:cs="方正小标宋_GBK"/>
          <w:b w:val="0"/>
          <w:bCs w:val="0"/>
          <w:sz w:val="44"/>
          <w:szCs w:val="44"/>
          <w:highlight w:val="none"/>
          <w:lang w:eastAsia="zh-CN"/>
        </w:rPr>
        <w:t>抽检</w:t>
      </w:r>
      <w:r>
        <w:rPr>
          <w:rFonts w:hint="eastAsia" w:ascii="方正小标宋_GBK" w:hAnsi="方正小标宋_GBK" w:eastAsia="方正小标宋_GBK" w:cs="方正小标宋_GBK"/>
          <w:b w:val="0"/>
          <w:bCs w:val="0"/>
          <w:sz w:val="44"/>
          <w:szCs w:val="44"/>
          <w:highlight w:val="none"/>
          <w:lang w:val="en-US" w:eastAsia="zh-CN"/>
        </w:rPr>
        <w:t>不合格</w:t>
      </w:r>
      <w:r>
        <w:rPr>
          <w:rFonts w:hint="eastAsia" w:ascii="方正小标宋_GBK" w:hAnsi="方正小标宋_GBK" w:eastAsia="方正小标宋_GBK" w:cs="方正小标宋_GBK"/>
          <w:b w:val="0"/>
          <w:bCs w:val="0"/>
          <w:sz w:val="44"/>
          <w:szCs w:val="44"/>
          <w:highlight w:val="none"/>
          <w:lang w:eastAsia="zh-CN"/>
        </w:rPr>
        <w:t>项目</w:t>
      </w:r>
      <w:r>
        <w:rPr>
          <w:rFonts w:hint="eastAsia" w:ascii="方正小标宋_GBK" w:hAnsi="方正小标宋_GBK" w:eastAsia="方正小标宋_GBK" w:cs="方正小标宋_GBK"/>
          <w:b w:val="0"/>
          <w:bCs w:val="0"/>
          <w:sz w:val="44"/>
          <w:szCs w:val="44"/>
          <w:highlight w:val="none"/>
        </w:rPr>
        <w:t>的</w:t>
      </w:r>
      <w:r>
        <w:rPr>
          <w:rFonts w:hint="eastAsia" w:ascii="方正小标宋_GBK" w:hAnsi="方正小标宋_GBK" w:eastAsia="方正小标宋_GBK" w:cs="方正小标宋_GBK"/>
          <w:b w:val="0"/>
          <w:bCs w:val="0"/>
          <w:sz w:val="44"/>
          <w:szCs w:val="44"/>
          <w:highlight w:val="none"/>
          <w:lang w:val="en-US" w:eastAsia="zh-CN"/>
        </w:rPr>
        <w:t>解读</w:t>
      </w:r>
    </w:p>
    <w:p>
      <w:pPr>
        <w:jc w:val="center"/>
        <w:rPr>
          <w:rFonts w:hint="eastAsia" w:ascii="宋体" w:hAnsi="宋体" w:eastAsia="宋体" w:cs="宋体"/>
          <w:b/>
          <w:bCs/>
          <w:i w:val="0"/>
          <w:iCs w:val="0"/>
          <w:color w:val="000000"/>
          <w:kern w:val="0"/>
          <w:sz w:val="32"/>
          <w:szCs w:val="32"/>
          <w:u w:val="none"/>
          <w:lang w:val="en-US" w:eastAsia="zh-CN" w:bidi="ar"/>
        </w:rPr>
      </w:pPr>
    </w:p>
    <w:p>
      <w:pPr>
        <w:jc w:val="center"/>
        <w:rPr>
          <w:rFonts w:hint="default" w:ascii="宋体" w:hAnsi="宋体" w:eastAsia="宋体" w:cs="宋体"/>
          <w:b/>
          <w:bCs/>
          <w:i w:val="0"/>
          <w:iCs w:val="0"/>
          <w:color w:val="000000"/>
          <w:kern w:val="0"/>
          <w:sz w:val="32"/>
          <w:szCs w:val="32"/>
          <w:u w:val="none"/>
          <w:lang w:val="en-US" w:eastAsia="zh-CN" w:bidi="ar"/>
        </w:rPr>
      </w:pPr>
      <w:r>
        <w:rPr>
          <w:rFonts w:hint="eastAsia" w:ascii="宋体" w:hAnsi="宋体" w:eastAsia="宋体" w:cs="宋体"/>
          <w:b/>
          <w:bCs/>
          <w:i w:val="0"/>
          <w:iCs w:val="0"/>
          <w:color w:val="000000"/>
          <w:kern w:val="0"/>
          <w:sz w:val="32"/>
          <w:szCs w:val="32"/>
          <w:u w:val="none"/>
          <w:lang w:val="en-US" w:eastAsia="zh-CN" w:bidi="ar"/>
        </w:rPr>
        <w:t xml:space="preserve"> </w:t>
      </w:r>
    </w:p>
    <w:p>
      <w:pPr>
        <w:jc w:val="center"/>
        <w:rPr>
          <w:rFonts w:hint="default" w:ascii="宋体" w:hAnsi="宋体" w:eastAsia="宋体" w:cs="宋体"/>
          <w:b/>
          <w:bCs/>
          <w:i w:val="0"/>
          <w:iCs w:val="0"/>
          <w:color w:val="000000"/>
          <w:kern w:val="0"/>
          <w:sz w:val="24"/>
          <w:szCs w:val="24"/>
          <w:u w:val="none"/>
          <w:vertAlign w:val="baseline"/>
          <w:lang w:val="en-US" w:eastAsia="zh-CN" w:bidi="ar"/>
        </w:rPr>
      </w:pPr>
      <w:r>
        <w:rPr>
          <w:rFonts w:hint="eastAsia" w:ascii="宋体" w:hAnsi="宋体" w:eastAsia="宋体" w:cs="宋体"/>
          <w:b/>
          <w:bCs/>
          <w:i w:val="0"/>
          <w:iCs w:val="0"/>
          <w:color w:val="000000"/>
          <w:kern w:val="0"/>
          <w:sz w:val="28"/>
          <w:szCs w:val="28"/>
          <w:u w:val="none"/>
          <w:lang w:val="en-US" w:eastAsia="zh-CN" w:bidi="ar"/>
        </w:rPr>
        <w:t>不合格样品信息汇总表</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4"/>
        <w:gridCol w:w="855"/>
        <w:gridCol w:w="1305"/>
        <w:gridCol w:w="2235"/>
        <w:gridCol w:w="1155"/>
        <w:gridCol w:w="1241"/>
        <w:gridCol w:w="12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4" w:type="dxa"/>
          </w:tcPr>
          <w:p>
            <w:pPr>
              <w:jc w:val="center"/>
              <w:rPr>
                <w:rFonts w:hint="eastAsia"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t>序号</w:t>
            </w:r>
          </w:p>
        </w:tc>
        <w:tc>
          <w:tcPr>
            <w:tcW w:w="855" w:type="dxa"/>
          </w:tcPr>
          <w:p>
            <w:pPr>
              <w:jc w:val="center"/>
              <w:rPr>
                <w:rFonts w:hint="eastAsia"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t>样品名称</w:t>
            </w:r>
          </w:p>
        </w:tc>
        <w:tc>
          <w:tcPr>
            <w:tcW w:w="1305" w:type="dxa"/>
            <w:vAlign w:val="center"/>
          </w:tcPr>
          <w:p>
            <w:pPr>
              <w:jc w:val="center"/>
              <w:rPr>
                <w:rFonts w:hint="eastAsia"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t>被抽样单位名称</w:t>
            </w:r>
          </w:p>
        </w:tc>
        <w:tc>
          <w:tcPr>
            <w:tcW w:w="2235" w:type="dxa"/>
            <w:vAlign w:val="center"/>
          </w:tcPr>
          <w:p>
            <w:pPr>
              <w:jc w:val="center"/>
              <w:rPr>
                <w:rFonts w:hint="eastAsia"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pPr>
            <w:bookmarkStart w:id="0" w:name="_GoBack"/>
            <w:bookmarkEnd w:id="0"/>
            <w:r>
              <w:rPr>
                <w:rFonts w:hint="eastAsia"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t>被抽样单位地址</w:t>
            </w:r>
          </w:p>
        </w:tc>
        <w:tc>
          <w:tcPr>
            <w:tcW w:w="1155" w:type="dxa"/>
            <w:vAlign w:val="center"/>
          </w:tcPr>
          <w:p>
            <w:pPr>
              <w:jc w:val="center"/>
              <w:rPr>
                <w:rFonts w:hint="eastAsia"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t>检验项目</w:t>
            </w:r>
          </w:p>
        </w:tc>
        <w:tc>
          <w:tcPr>
            <w:tcW w:w="1241" w:type="dxa"/>
            <w:vAlign w:val="center"/>
          </w:tcPr>
          <w:p>
            <w:pPr>
              <w:jc w:val="center"/>
              <w:rPr>
                <w:rFonts w:hint="eastAsia"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t>检测结果</w:t>
            </w:r>
          </w:p>
        </w:tc>
        <w:tc>
          <w:tcPr>
            <w:tcW w:w="1257" w:type="dxa"/>
            <w:vAlign w:val="center"/>
          </w:tcPr>
          <w:p>
            <w:pPr>
              <w:jc w:val="center"/>
              <w:rPr>
                <w:rFonts w:hint="eastAsia"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t>标准要求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rPr>
        <w:tc>
          <w:tcPr>
            <w:tcW w:w="474" w:type="dxa"/>
            <w:vMerge w:val="restart"/>
            <w:vAlign w:val="center"/>
          </w:tcPr>
          <w:p>
            <w:pPr>
              <w:jc w:val="center"/>
              <w:rPr>
                <w:rFonts w:hint="eastAsia"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t>1</w:t>
            </w:r>
          </w:p>
        </w:tc>
        <w:tc>
          <w:tcPr>
            <w:tcW w:w="855" w:type="dxa"/>
            <w:vMerge w:val="restart"/>
            <w:vAlign w:val="center"/>
          </w:tcPr>
          <w:p>
            <w:pPr>
              <w:jc w:val="center"/>
              <w:rPr>
                <w:rFonts w:hint="default"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pPr>
            <w:r>
              <w:rPr>
                <w:rFonts w:hint="default"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t>泥猛鱼</w:t>
            </w:r>
          </w:p>
          <w:p>
            <w:pPr>
              <w:jc w:val="center"/>
              <w:rPr>
                <w:rFonts w:hint="eastAsia"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pPr>
            <w:r>
              <w:rPr>
                <w:rFonts w:hint="default"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t>（海水鱼）</w:t>
            </w:r>
          </w:p>
        </w:tc>
        <w:tc>
          <w:tcPr>
            <w:tcW w:w="1305" w:type="dxa"/>
            <w:vMerge w:val="restart"/>
            <w:vAlign w:val="center"/>
          </w:tcPr>
          <w:p>
            <w:pPr>
              <w:jc w:val="center"/>
              <w:rPr>
                <w:rFonts w:hint="eastAsia"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pPr>
            <w:r>
              <w:rPr>
                <w:rFonts w:hint="default"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t>大亚湾海洋城海鲜酒家</w:t>
            </w:r>
          </w:p>
        </w:tc>
        <w:tc>
          <w:tcPr>
            <w:tcW w:w="2235" w:type="dxa"/>
            <w:vMerge w:val="restart"/>
            <w:vAlign w:val="center"/>
          </w:tcPr>
          <w:p>
            <w:pPr>
              <w:jc w:val="center"/>
              <w:rPr>
                <w:rFonts w:hint="eastAsia"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pPr>
            <w:r>
              <w:rPr>
                <w:rFonts w:hint="default"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t>澳头镇龙海街三角码头98号</w:t>
            </w:r>
          </w:p>
        </w:tc>
        <w:tc>
          <w:tcPr>
            <w:tcW w:w="1155" w:type="dxa"/>
            <w:vAlign w:val="center"/>
          </w:tcPr>
          <w:p>
            <w:pPr>
              <w:jc w:val="center"/>
              <w:rPr>
                <w:rFonts w:hint="eastAsia"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pPr>
            <w:r>
              <w:rPr>
                <w:rFonts w:hint="default"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t>呋喃唑酮代谢物</w:t>
            </w:r>
          </w:p>
        </w:tc>
        <w:tc>
          <w:tcPr>
            <w:tcW w:w="1241" w:type="dxa"/>
            <w:vAlign w:val="center"/>
          </w:tcPr>
          <w:p>
            <w:pPr>
              <w:jc w:val="center"/>
              <w:rPr>
                <w:rFonts w:hint="eastAsia"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t>5.4</w:t>
            </w:r>
            <w:r>
              <w:rPr>
                <w:rFonts w:hint="default"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t>µg/kg</w:t>
            </w:r>
          </w:p>
        </w:tc>
        <w:tc>
          <w:tcPr>
            <w:tcW w:w="1257" w:type="dxa"/>
            <w:vAlign w:val="center"/>
          </w:tcPr>
          <w:p>
            <w:pPr>
              <w:jc w:val="center"/>
              <w:rPr>
                <w:rFonts w:hint="eastAsia"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pPr>
            <w:r>
              <w:rPr>
                <w:rFonts w:hint="default"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t>不得检出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474" w:type="dxa"/>
            <w:vMerge w:val="continue"/>
            <w:vAlign w:val="center"/>
          </w:tcPr>
          <w:p>
            <w:pPr>
              <w:jc w:val="center"/>
              <w:rPr>
                <w:rFonts w:hint="eastAsia"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pPr>
          </w:p>
        </w:tc>
        <w:tc>
          <w:tcPr>
            <w:tcW w:w="855" w:type="dxa"/>
            <w:vMerge w:val="continue"/>
            <w:vAlign w:val="center"/>
          </w:tcPr>
          <w:p>
            <w:pPr>
              <w:jc w:val="center"/>
              <w:rPr>
                <w:rFonts w:hint="default"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pPr>
          </w:p>
        </w:tc>
        <w:tc>
          <w:tcPr>
            <w:tcW w:w="1305" w:type="dxa"/>
            <w:vMerge w:val="continue"/>
            <w:vAlign w:val="center"/>
          </w:tcPr>
          <w:p>
            <w:pPr>
              <w:jc w:val="center"/>
              <w:rPr>
                <w:rFonts w:hint="default"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pPr>
          </w:p>
        </w:tc>
        <w:tc>
          <w:tcPr>
            <w:tcW w:w="2235" w:type="dxa"/>
            <w:vMerge w:val="continue"/>
            <w:vAlign w:val="center"/>
          </w:tcPr>
          <w:p>
            <w:pPr>
              <w:jc w:val="center"/>
              <w:rPr>
                <w:rFonts w:hint="default"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pPr>
          </w:p>
        </w:tc>
        <w:tc>
          <w:tcPr>
            <w:tcW w:w="1155" w:type="dxa"/>
            <w:vAlign w:val="center"/>
          </w:tcPr>
          <w:p>
            <w:pPr>
              <w:jc w:val="center"/>
              <w:rPr>
                <w:rFonts w:hint="eastAsia"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pPr>
            <w:r>
              <w:rPr>
                <w:rFonts w:hint="default"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t>氯霉素</w:t>
            </w:r>
          </w:p>
        </w:tc>
        <w:tc>
          <w:tcPr>
            <w:tcW w:w="1241" w:type="dxa"/>
            <w:vAlign w:val="center"/>
          </w:tcPr>
          <w:p>
            <w:pPr>
              <w:jc w:val="center"/>
              <w:rPr>
                <w:rFonts w:hint="eastAsia"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pPr>
            <w:r>
              <w:rPr>
                <w:rFonts w:hint="default"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t>82.4</w:t>
            </w:r>
            <w:r>
              <w:rPr>
                <w:rFonts w:hint="eastAsia"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t>µ</w:t>
            </w:r>
            <w:r>
              <w:rPr>
                <w:rFonts w:hint="default"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t>g/kg</w:t>
            </w:r>
          </w:p>
        </w:tc>
        <w:tc>
          <w:tcPr>
            <w:tcW w:w="1257" w:type="dxa"/>
            <w:vAlign w:val="center"/>
          </w:tcPr>
          <w:p>
            <w:pPr>
              <w:jc w:val="center"/>
              <w:rPr>
                <w:rFonts w:hint="eastAsia"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pPr>
            <w:r>
              <w:rPr>
                <w:rFonts w:hint="default"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t>不得检出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4" w:type="dxa"/>
            <w:vAlign w:val="center"/>
          </w:tcPr>
          <w:p>
            <w:pPr>
              <w:jc w:val="center"/>
              <w:rPr>
                <w:rFonts w:hint="default"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t>2</w:t>
            </w:r>
          </w:p>
        </w:tc>
        <w:tc>
          <w:tcPr>
            <w:tcW w:w="855" w:type="dxa"/>
            <w:vAlign w:val="center"/>
          </w:tcPr>
          <w:p>
            <w:pPr>
              <w:jc w:val="center"/>
              <w:rPr>
                <w:rFonts w:hint="eastAsia"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pPr>
            <w:r>
              <w:rPr>
                <w:rFonts w:hint="default"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t>荔枝</w:t>
            </w:r>
          </w:p>
        </w:tc>
        <w:tc>
          <w:tcPr>
            <w:tcW w:w="1305" w:type="dxa"/>
            <w:vAlign w:val="center"/>
          </w:tcPr>
          <w:p>
            <w:pPr>
              <w:jc w:val="center"/>
              <w:rPr>
                <w:rFonts w:hint="default"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pPr>
            <w:r>
              <w:rPr>
                <w:rFonts w:hint="default"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t>惠州大亚湾兄弟水果店</w:t>
            </w:r>
          </w:p>
        </w:tc>
        <w:tc>
          <w:tcPr>
            <w:tcW w:w="2235" w:type="dxa"/>
            <w:vAlign w:val="center"/>
          </w:tcPr>
          <w:p>
            <w:pPr>
              <w:jc w:val="center"/>
              <w:rPr>
                <w:rFonts w:hint="default"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pPr>
            <w:r>
              <w:rPr>
                <w:rFonts w:hint="default"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t>广东省惠州市大亚湾经济技术开发区西区东联消费品综合市场</w:t>
            </w:r>
          </w:p>
        </w:tc>
        <w:tc>
          <w:tcPr>
            <w:tcW w:w="1155" w:type="dxa"/>
            <w:vAlign w:val="center"/>
          </w:tcPr>
          <w:p>
            <w:pPr>
              <w:jc w:val="center"/>
              <w:rPr>
                <w:rFonts w:hint="default"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pPr>
            <w:r>
              <w:rPr>
                <w:rFonts w:hint="default"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t>吡唑醚</w:t>
            </w:r>
          </w:p>
          <w:p>
            <w:pPr>
              <w:jc w:val="center"/>
              <w:rPr>
                <w:rFonts w:hint="eastAsia"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pPr>
            <w:r>
              <w:rPr>
                <w:rFonts w:hint="default"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t>菌酯</w:t>
            </w:r>
          </w:p>
        </w:tc>
        <w:tc>
          <w:tcPr>
            <w:tcW w:w="1241" w:type="dxa"/>
            <w:vAlign w:val="center"/>
          </w:tcPr>
          <w:p>
            <w:pPr>
              <w:jc w:val="center"/>
              <w:rPr>
                <w:rFonts w:hint="default"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t>2.50</w:t>
            </w:r>
            <w:r>
              <w:rPr>
                <w:rFonts w:hint="default"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t>mg/kg</w:t>
            </w:r>
          </w:p>
        </w:tc>
        <w:tc>
          <w:tcPr>
            <w:tcW w:w="1257" w:type="dxa"/>
            <w:vAlign w:val="center"/>
          </w:tcPr>
          <w:p>
            <w:pPr>
              <w:jc w:val="center"/>
              <w:rPr>
                <w:rFonts w:hint="eastAsia"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pPr>
            <w:r>
              <w:rPr>
                <w:rFonts w:hint="default"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t>0.1mg/kg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4" w:type="dxa"/>
            <w:vAlign w:val="center"/>
          </w:tcPr>
          <w:p>
            <w:pPr>
              <w:spacing w:line="490" w:lineRule="exact"/>
              <w:jc w:val="center"/>
              <w:rPr>
                <w:rFonts w:hint="eastAsia"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pPr>
            <w:r>
              <w:rPr>
                <w:rFonts w:hint="eastAsia" w:ascii="宋体" w:hAnsi="宋体" w:eastAsia="宋体" w:cs="宋体"/>
                <w:color w:val="auto"/>
                <w:sz w:val="21"/>
                <w:szCs w:val="21"/>
                <w:lang w:val="en-US" w:eastAsia="zh-CN"/>
              </w:rPr>
              <w:t>3</w:t>
            </w:r>
          </w:p>
        </w:tc>
        <w:tc>
          <w:tcPr>
            <w:tcW w:w="855" w:type="dxa"/>
            <w:vAlign w:val="center"/>
          </w:tcPr>
          <w:p>
            <w:pPr>
              <w:jc w:val="center"/>
              <w:rPr>
                <w:rFonts w:hint="eastAsia"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pPr>
            <w:r>
              <w:rPr>
                <w:rFonts w:hint="eastAsia" w:ascii="宋体" w:hAnsi="宋体" w:eastAsia="宋体" w:cs="宋体"/>
                <w:color w:val="auto"/>
                <w:sz w:val="21"/>
                <w:szCs w:val="21"/>
                <w:lang w:val="en-US" w:eastAsia="zh-CN"/>
              </w:rPr>
              <w:t>复用餐饮具(菜盘)</w:t>
            </w:r>
          </w:p>
        </w:tc>
        <w:tc>
          <w:tcPr>
            <w:tcW w:w="1305" w:type="dxa"/>
            <w:vAlign w:val="center"/>
          </w:tcPr>
          <w:p>
            <w:pPr>
              <w:jc w:val="center"/>
              <w:rPr>
                <w:rFonts w:hint="eastAsia"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pPr>
            <w:r>
              <w:rPr>
                <w:rFonts w:hint="eastAsia" w:ascii="宋体" w:hAnsi="宋体" w:eastAsia="宋体" w:cs="宋体"/>
                <w:color w:val="auto"/>
                <w:sz w:val="21"/>
                <w:szCs w:val="21"/>
                <w:lang w:val="en-US" w:eastAsia="zh-CN"/>
              </w:rPr>
              <w:t>惠州大亚湾经济技术开发区樟浦小学</w:t>
            </w:r>
          </w:p>
        </w:tc>
        <w:tc>
          <w:tcPr>
            <w:tcW w:w="2235" w:type="dxa"/>
            <w:vAlign w:val="center"/>
          </w:tcPr>
          <w:p>
            <w:pPr>
              <w:jc w:val="center"/>
              <w:rPr>
                <w:rFonts w:hint="eastAsia"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pPr>
            <w:r>
              <w:rPr>
                <w:rFonts w:hint="eastAsia" w:ascii="宋体" w:hAnsi="宋体" w:eastAsia="宋体" w:cs="宋体"/>
                <w:color w:val="auto"/>
                <w:sz w:val="21"/>
                <w:szCs w:val="21"/>
                <w:lang w:val="en-US" w:eastAsia="zh-CN"/>
              </w:rPr>
              <w:t>惠州大亚湾经济技术开发区西区办事处樟浦村</w:t>
            </w:r>
          </w:p>
        </w:tc>
        <w:tc>
          <w:tcPr>
            <w:tcW w:w="1155" w:type="dxa"/>
            <w:vAlign w:val="center"/>
          </w:tcPr>
          <w:p>
            <w:pPr>
              <w:jc w:val="center"/>
              <w:rPr>
                <w:rFonts w:hint="eastAsia"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pPr>
            <w:r>
              <w:rPr>
                <w:rFonts w:hint="eastAsia" w:ascii="宋体" w:hAnsi="宋体" w:eastAsia="宋体" w:cs="宋体"/>
                <w:color w:val="auto"/>
                <w:sz w:val="21"/>
                <w:szCs w:val="21"/>
                <w:lang w:val="en-US" w:eastAsia="zh-CN"/>
              </w:rPr>
              <w:t>大肠菌群</w:t>
            </w:r>
          </w:p>
        </w:tc>
        <w:tc>
          <w:tcPr>
            <w:tcW w:w="1241" w:type="dxa"/>
            <w:vAlign w:val="center"/>
          </w:tcPr>
          <w:p>
            <w:pPr>
              <w:jc w:val="center"/>
              <w:rPr>
                <w:rFonts w:hint="eastAsia"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pPr>
            <w:r>
              <w:rPr>
                <w:rFonts w:hint="eastAsia" w:ascii="宋体" w:hAnsi="宋体" w:eastAsia="宋体" w:cs="宋体"/>
                <w:color w:val="auto"/>
                <w:sz w:val="21"/>
                <w:szCs w:val="21"/>
                <w:lang w:val="en-US" w:eastAsia="zh-CN"/>
              </w:rPr>
              <w:t>检出</w:t>
            </w:r>
          </w:p>
        </w:tc>
        <w:tc>
          <w:tcPr>
            <w:tcW w:w="1257" w:type="dxa"/>
            <w:vAlign w:val="center"/>
          </w:tcPr>
          <w:p>
            <w:pPr>
              <w:jc w:val="center"/>
              <w:rPr>
                <w:rFonts w:hint="eastAsia" w:ascii="宋体" w:hAnsi="宋体" w:eastAsia="宋体" w:cs="宋体"/>
                <w:i w:val="0"/>
                <w:iCs w:val="0"/>
                <w:color w:val="000000" w:themeColor="text1"/>
                <w:kern w:val="0"/>
                <w:sz w:val="21"/>
                <w:szCs w:val="21"/>
                <w:u w:val="none"/>
                <w:vertAlign w:val="baseline"/>
                <w:lang w:val="en-US" w:eastAsia="zh-CN" w:bidi="ar"/>
                <w14:textFill>
                  <w14:solidFill>
                    <w14:schemeClr w14:val="tx1"/>
                  </w14:solidFill>
                </w14:textFill>
              </w:rPr>
            </w:pPr>
            <w:r>
              <w:rPr>
                <w:rFonts w:hint="eastAsia" w:ascii="宋体" w:hAnsi="宋体" w:eastAsia="宋体" w:cs="宋体"/>
                <w:color w:val="auto"/>
                <w:sz w:val="21"/>
                <w:szCs w:val="21"/>
                <w:lang w:val="en-US" w:eastAsia="zh-CN"/>
              </w:rPr>
              <w:t>不得检出</w:t>
            </w:r>
          </w:p>
        </w:tc>
      </w:tr>
    </w:tbl>
    <w:p>
      <w:pPr>
        <w:keepNext w:val="0"/>
        <w:keepLines w:val="0"/>
        <w:widowControl/>
        <w:suppressLineNumbers w:val="0"/>
        <w:jc w:val="left"/>
        <w:rPr>
          <w:rFonts w:hint="eastAsia" w:ascii="宋体" w:hAnsi="宋体" w:eastAsia="宋体" w:cs="宋体"/>
          <w:i w:val="0"/>
          <w:iCs w:val="0"/>
          <w:color w:val="000000" w:themeColor="text1"/>
          <w:kern w:val="0"/>
          <w:sz w:val="24"/>
          <w:szCs w:val="24"/>
          <w:u w:val="none"/>
          <w:lang w:val="en-US" w:eastAsia="zh-CN" w:bidi="ar"/>
          <w14:textFill>
            <w14:solidFill>
              <w14:schemeClr w14:val="tx1"/>
            </w14:solidFill>
          </w14:textFill>
        </w:rPr>
      </w:pPr>
    </w:p>
    <w:p>
      <w:pPr>
        <w:rPr>
          <w:rFonts w:hint="default" w:ascii="宋体" w:hAnsi="宋体" w:eastAsia="宋体" w:cs="宋体"/>
          <w:color w:val="000000" w:themeColor="text1"/>
          <w:kern w:val="0"/>
          <w:sz w:val="24"/>
          <w:szCs w:val="24"/>
          <w:lang w:val="en-US" w:eastAsia="zh-CN" w:bidi="ar"/>
          <w14:textFill>
            <w14:solidFill>
              <w14:schemeClr w14:val="tx1"/>
            </w14:solidFill>
          </w14:textFill>
        </w:rPr>
      </w:pPr>
    </w:p>
    <w:p>
      <w:pPr>
        <w:keepNext w:val="0"/>
        <w:keepLines w:val="0"/>
        <w:pageBreakBefore w:val="0"/>
        <w:widowControl/>
        <w:numPr>
          <w:ilvl w:val="0"/>
          <w:numId w:val="1"/>
        </w:numPr>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仿宋_GB2312" w:cs="Times New Roman"/>
          <w:b w:val="0"/>
          <w:bCs w:val="0"/>
          <w:kern w:val="2"/>
          <w:sz w:val="32"/>
          <w:szCs w:val="32"/>
          <w:lang w:val="en-US" w:eastAsia="zh-CN" w:bidi="ar-SA"/>
        </w:rPr>
      </w:pPr>
      <w:r>
        <w:rPr>
          <w:rFonts w:hint="eastAsia" w:ascii="黑体" w:hAnsi="黑体" w:eastAsia="黑体" w:cs="黑体"/>
          <w:b w:val="0"/>
          <w:bCs w:val="0"/>
          <w:sz w:val="32"/>
          <w:szCs w:val="32"/>
          <w:lang w:val="en-US" w:eastAsia="zh-CN"/>
        </w:rPr>
        <w:t>呋喃唑酮代谢物</w:t>
      </w:r>
    </w:p>
    <w:p>
      <w:pPr>
        <w:ind w:firstLine="640" w:firstLineChars="200"/>
        <w:rPr>
          <w:rFonts w:hint="eastAsia" w:ascii="Times New Roman" w:hAnsi="Times New Roman" w:eastAsia="仿宋_GB2312" w:cs="Times New Roman"/>
          <w:b w:val="0"/>
          <w:bCs w:val="0"/>
          <w:kern w:val="2"/>
          <w:sz w:val="32"/>
          <w:szCs w:val="32"/>
          <w:lang w:val="en-US" w:eastAsia="zh-CN" w:bidi="ar-SA"/>
        </w:rPr>
      </w:pPr>
      <w:r>
        <w:rPr>
          <w:rFonts w:hint="eastAsia" w:ascii="Times New Roman" w:hAnsi="Times New Roman" w:eastAsia="仿宋_GB2312" w:cs="Times New Roman"/>
          <w:b w:val="0"/>
          <w:bCs w:val="0"/>
          <w:kern w:val="2"/>
          <w:sz w:val="32"/>
          <w:szCs w:val="32"/>
          <w:lang w:val="en-US" w:eastAsia="zh-CN" w:bidi="ar-SA"/>
        </w:rPr>
        <w:t>呋喃唑酮代谢物是一种硝基呋喃类广谱抗生素，曾广泛应用于畜禽及水产养殖业。农业农村部公告 第250号《食品动物中禁止使用的药品及其他化合物清单》中规定，呋喃唑酮为禁止使用的药物，在动物性食品中不得检出。硝基呋喃类药物及其代谢物可引起溶血性贫血、多发性神经炎等疾病。</w:t>
      </w:r>
    </w:p>
    <w:p>
      <w:pPr>
        <w:ind w:firstLine="640" w:firstLineChars="200"/>
        <w:rPr>
          <w:rFonts w:hint="eastAsia" w:ascii="Times New Roman" w:hAnsi="Times New Roman" w:eastAsia="仿宋_GB2312" w:cs="Times New Roman"/>
          <w:b w:val="0"/>
          <w:bCs w:val="0"/>
          <w:kern w:val="2"/>
          <w:sz w:val="32"/>
          <w:szCs w:val="32"/>
          <w:lang w:val="en-US" w:eastAsia="zh-CN" w:bidi="ar-SA"/>
        </w:rPr>
      </w:pPr>
    </w:p>
    <w:p>
      <w:pPr>
        <w:ind w:firstLine="640" w:firstLineChars="200"/>
        <w:rPr>
          <w:rFonts w:hint="eastAsia" w:ascii="Times New Roman" w:hAnsi="Times New Roman" w:eastAsia="仿宋_GB2312" w:cs="Times New Roman"/>
          <w:b w:val="0"/>
          <w:bCs w:val="0"/>
          <w:kern w:val="2"/>
          <w:sz w:val="32"/>
          <w:szCs w:val="32"/>
          <w:lang w:val="en-US" w:eastAsia="zh-CN" w:bidi="ar-SA"/>
        </w:rPr>
      </w:pPr>
    </w:p>
    <w:p>
      <w:pPr>
        <w:ind w:firstLine="640" w:firstLineChars="200"/>
        <w:rPr>
          <w:rFonts w:hint="eastAsia" w:ascii="Times New Roman" w:hAnsi="Times New Roman" w:eastAsia="仿宋_GB2312" w:cs="Times New Roman"/>
          <w:b w:val="0"/>
          <w:bCs w:val="0"/>
          <w:kern w:val="2"/>
          <w:sz w:val="32"/>
          <w:szCs w:val="32"/>
          <w:lang w:val="en-US" w:eastAsia="zh-CN" w:bidi="ar-SA"/>
        </w:rPr>
      </w:pPr>
    </w:p>
    <w:p>
      <w:pPr>
        <w:ind w:firstLine="640" w:firstLineChars="200"/>
        <w:rPr>
          <w:rFonts w:hint="eastAsia" w:ascii="Times New Roman" w:hAnsi="Times New Roman" w:eastAsia="仿宋_GB2312" w:cs="Times New Roman"/>
          <w:b w:val="0"/>
          <w:bCs w:val="0"/>
          <w:kern w:val="2"/>
          <w:sz w:val="32"/>
          <w:szCs w:val="32"/>
          <w:lang w:val="en-US" w:eastAsia="zh-CN" w:bidi="ar-SA"/>
        </w:rPr>
      </w:pPr>
    </w:p>
    <w:p>
      <w:pPr>
        <w:keepNext w:val="0"/>
        <w:keepLines w:val="0"/>
        <w:pageBreakBefore w:val="0"/>
        <w:widowControl/>
        <w:numPr>
          <w:ilvl w:val="0"/>
          <w:numId w:val="1"/>
        </w:numPr>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仿宋_GB2312" w:cs="Times New Roman"/>
          <w:b w:val="0"/>
          <w:bCs w:val="0"/>
          <w:kern w:val="2"/>
          <w:sz w:val="32"/>
          <w:szCs w:val="32"/>
          <w:lang w:val="en-US" w:eastAsia="zh-CN" w:bidi="ar-SA"/>
        </w:rPr>
      </w:pPr>
      <w:r>
        <w:rPr>
          <w:rFonts w:hint="eastAsia" w:ascii="黑体" w:hAnsi="黑体" w:eastAsia="黑体" w:cs="黑体"/>
          <w:b w:val="0"/>
          <w:bCs w:val="0"/>
          <w:sz w:val="32"/>
          <w:szCs w:val="32"/>
          <w:lang w:val="en-US" w:eastAsia="zh-CN"/>
        </w:rPr>
        <w:t>氯霉素</w:t>
      </w:r>
    </w:p>
    <w:p>
      <w:pPr>
        <w:ind w:firstLine="640" w:firstLineChars="200"/>
        <w:rPr>
          <w:rFonts w:hint="eastAsia" w:ascii="Times New Roman" w:hAnsi="Times New Roman" w:eastAsia="仿宋_GB2312" w:cs="Times New Roman"/>
          <w:b w:val="0"/>
          <w:bCs w:val="0"/>
          <w:kern w:val="2"/>
          <w:sz w:val="32"/>
          <w:szCs w:val="32"/>
          <w:lang w:val="en-US" w:eastAsia="zh-CN" w:bidi="ar-SA"/>
        </w:rPr>
      </w:pPr>
      <w:r>
        <w:rPr>
          <w:rFonts w:hint="eastAsia" w:ascii="Times New Roman" w:hAnsi="Times New Roman" w:eastAsia="仿宋_GB2312" w:cs="Times New Roman"/>
          <w:b w:val="0"/>
          <w:bCs w:val="0"/>
          <w:kern w:val="2"/>
          <w:sz w:val="32"/>
          <w:szCs w:val="32"/>
          <w:lang w:val="en-US" w:eastAsia="zh-CN" w:bidi="ar-SA"/>
        </w:rPr>
        <w:t>氯霉素是一种杀菌剂，也是高效广谱的抗生素。农业农村部公告 第250号《食品动物中禁止使用的药品及其他化合物清单》中规定，氯霉素为禁止使用的药物，在动物性食品中不得检出。长期食用氯霉素残留超标的食品可能引起肠道菌群失调，导致消化机能紊乱；人体过量摄入氯霉素，可引起人肝脏和骨髓造血机能的损害，导致再生障碍性贫血和血小板减少、肝损伤等健康危害。</w:t>
      </w:r>
    </w:p>
    <w:p>
      <w:pPr>
        <w:keepNext w:val="0"/>
        <w:keepLines w:val="0"/>
        <w:pageBreakBefore w:val="0"/>
        <w:widowControl/>
        <w:numPr>
          <w:ilvl w:val="0"/>
          <w:numId w:val="1"/>
        </w:numPr>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仿宋_GB2312" w:cs="Times New Roman"/>
          <w:b w:val="0"/>
          <w:bCs w:val="0"/>
          <w:kern w:val="2"/>
          <w:sz w:val="32"/>
          <w:szCs w:val="32"/>
          <w:lang w:val="en-US" w:eastAsia="zh-CN" w:bidi="ar-SA"/>
        </w:rPr>
      </w:pPr>
      <w:r>
        <w:rPr>
          <w:rFonts w:hint="eastAsia" w:ascii="黑体" w:hAnsi="黑体" w:eastAsia="黑体" w:cs="黑体"/>
          <w:b w:val="0"/>
          <w:bCs w:val="0"/>
          <w:sz w:val="32"/>
          <w:szCs w:val="32"/>
          <w:lang w:val="en-US" w:eastAsia="zh-CN"/>
        </w:rPr>
        <w:t>吡唑醚菌酯</w:t>
      </w:r>
    </w:p>
    <w:p>
      <w:pPr>
        <w:ind w:firstLine="640" w:firstLineChars="200"/>
        <w:rPr>
          <w:rFonts w:hint="eastAsia" w:ascii="Times New Roman" w:hAnsi="Times New Roman" w:eastAsia="仿宋_GB2312" w:cs="Times New Roman"/>
          <w:b w:val="0"/>
          <w:bCs w:val="0"/>
          <w:kern w:val="2"/>
          <w:sz w:val="32"/>
          <w:szCs w:val="32"/>
          <w:lang w:val="en-US" w:eastAsia="zh-CN" w:bidi="ar-SA"/>
        </w:rPr>
      </w:pPr>
      <w:r>
        <w:rPr>
          <w:rFonts w:hint="eastAsia" w:ascii="Times New Roman" w:hAnsi="Times New Roman" w:eastAsia="仿宋_GB2312" w:cs="Times New Roman"/>
          <w:b w:val="0"/>
          <w:bCs w:val="0"/>
          <w:kern w:val="2"/>
          <w:sz w:val="32"/>
          <w:szCs w:val="32"/>
          <w:lang w:val="en-US" w:eastAsia="zh-CN" w:bidi="ar-SA"/>
        </w:rPr>
        <w:t>吡唑醚菌酯为杀菌剂，属于甲氧基氨基甲酸酯类。食用食品一般不会导致吡唑醚菌酯的急性中毒，但长期食用吡唑醚菌酯超标的食品，对人体健康也有一定影响。《食品安全国家标准 食品中农药最大残留限量》（GB 2763-2021）中规定，吡唑醚菌酯在荔枝中的最大残留限量值为0.1mg/kg。荔枝中吡唑醚菌酯残留量超标的原因，可能是为快速控制病情，加大用药量或未遵守采摘间隔期规定，致使上市销售的产品中残留量超标。</w:t>
      </w:r>
    </w:p>
    <w:p>
      <w:pPr>
        <w:keepNext w:val="0"/>
        <w:keepLines w:val="0"/>
        <w:pageBreakBefore w:val="0"/>
        <w:widowControl/>
        <w:numPr>
          <w:ilvl w:val="0"/>
          <w:numId w:val="1"/>
        </w:numPr>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大肠菌群</w:t>
      </w:r>
    </w:p>
    <w:p>
      <w:pPr>
        <w:ind w:firstLine="640" w:firstLineChars="200"/>
        <w:rPr>
          <w:rFonts w:hint="eastAsia" w:ascii="Times New Roman" w:hAnsi="Times New Roman" w:eastAsia="仿宋_GB2312" w:cs="Times New Roman"/>
          <w:b w:val="0"/>
          <w:bCs w:val="0"/>
          <w:kern w:val="2"/>
          <w:sz w:val="32"/>
          <w:szCs w:val="32"/>
          <w:lang w:val="en-US" w:eastAsia="zh-CN" w:bidi="ar-SA"/>
        </w:rPr>
      </w:pPr>
      <w:r>
        <w:rPr>
          <w:rFonts w:hint="eastAsia" w:ascii="Times New Roman" w:hAnsi="Times New Roman" w:eastAsia="仿宋_GB2312" w:cs="Times New Roman"/>
          <w:b w:val="0"/>
          <w:bCs w:val="0"/>
          <w:kern w:val="2"/>
          <w:sz w:val="32"/>
          <w:szCs w:val="32"/>
          <w:lang w:val="en-US" w:eastAsia="zh-CN" w:bidi="ar-SA"/>
        </w:rPr>
        <w:t>大肠菌群指的是具有某些特性的一组与粪便污染有关的细菌。大肠菌群分布比较广，广泛存在于自然界和恒温动物粪便中。大肠菌群数的高低，表明了粪便污染的程度，也反映了对人体健康危害性的大小。在《食品安全国家标准 消毒餐（饮）具》（GB 14934-2016）中规定，消毒餐（饮）具中大肠菌群的限量为不得检出。大肠菌群是评价食品卫生质量的重要指标之一，如果使用大肠菌群严重超标的餐饮具进食，可能会引起肠道传染病或食物中毒。餐（饮）具中大肠菌群不合格的原因可能是餐饮单位对餐具清洗消毒工作不到位，消毒设备设施不够完备，不具备高温消毒设施，仅采用紫外消毒工具进行消毒，消毒过程不符合消毒规程，也有可能是消毒过后存放过长时间再次产生污染造成。</w:t>
      </w:r>
    </w:p>
    <w:p>
      <w:pPr>
        <w:ind w:firstLine="640" w:firstLineChars="200"/>
        <w:rPr>
          <w:rFonts w:hint="default" w:ascii="Times New Roman" w:hAnsi="Times New Roman" w:eastAsia="仿宋_GB2312" w:cs="Times New Roman"/>
          <w:b w:val="0"/>
          <w:bCs w:val="0"/>
          <w:kern w:val="2"/>
          <w:sz w:val="32"/>
          <w:szCs w:val="32"/>
          <w:lang w:val="en-US" w:eastAsia="zh-CN" w:bidi="ar-SA"/>
        </w:rPr>
      </w:pPr>
    </w:p>
    <w:p>
      <w:pPr>
        <w:ind w:firstLine="640" w:firstLineChars="200"/>
        <w:rPr>
          <w:rFonts w:hint="eastAsia" w:ascii="Times New Roman" w:hAnsi="Times New Roman" w:eastAsia="仿宋_GB2312" w:cs="Times New Roman"/>
          <w:b w:val="0"/>
          <w:bCs w:val="0"/>
          <w:kern w:val="2"/>
          <w:sz w:val="32"/>
          <w:szCs w:val="32"/>
          <w:lang w:val="en-US" w:eastAsia="zh-CN" w:bidi="ar-SA"/>
        </w:rPr>
      </w:pPr>
    </w:p>
    <w:p>
      <w:pPr>
        <w:ind w:firstLine="1440" w:firstLineChars="600"/>
        <w:rPr>
          <w:rFonts w:hint="default" w:ascii="宋体" w:hAnsi="宋体" w:eastAsia="宋体" w:cs="宋体"/>
          <w:color w:val="000000" w:themeColor="text1"/>
          <w:kern w:val="0"/>
          <w:sz w:val="24"/>
          <w:szCs w:val="24"/>
          <w:lang w:val="en-US" w:eastAsia="zh-CN" w:bidi="ar"/>
          <w14:textFill>
            <w14:solidFill>
              <w14:schemeClr w14:val="tx1"/>
            </w14:solidFill>
          </w14:textFill>
        </w:rPr>
      </w:pPr>
    </w:p>
    <w:p>
      <w:pPr>
        <w:ind w:firstLine="1440" w:firstLineChars="600"/>
        <w:rPr>
          <w:rFonts w:hint="default" w:ascii="宋体" w:hAnsi="宋体" w:eastAsia="宋体" w:cs="宋体"/>
          <w:color w:val="000000" w:themeColor="text1"/>
          <w:kern w:val="0"/>
          <w:sz w:val="24"/>
          <w:szCs w:val="24"/>
          <w:lang w:val="en-US" w:eastAsia="zh-CN" w:bidi="ar"/>
          <w14:textFill>
            <w14:solidFill>
              <w14:schemeClr w14:val="tx1"/>
            </w14:solidFill>
          </w14:textFill>
        </w:rPr>
      </w:pPr>
    </w:p>
    <w:p>
      <w:pPr>
        <w:ind w:firstLine="1440" w:firstLineChars="600"/>
        <w:rPr>
          <w:rFonts w:hint="default" w:ascii="宋体" w:hAnsi="宋体" w:eastAsia="宋体" w:cs="宋体"/>
          <w:color w:val="000000" w:themeColor="text1"/>
          <w:kern w:val="0"/>
          <w:sz w:val="24"/>
          <w:szCs w:val="24"/>
          <w:lang w:val="en-US" w:eastAsia="zh-CN" w:bidi="ar"/>
          <w14:textFill>
            <w14:solidFill>
              <w14:schemeClr w14:val="tx1"/>
            </w14:solidFill>
          </w14:textFill>
        </w:rPr>
      </w:pPr>
    </w:p>
    <w:p>
      <w:pPr>
        <w:ind w:firstLine="1440" w:firstLineChars="600"/>
        <w:rPr>
          <w:rFonts w:hint="default" w:ascii="宋体" w:hAnsi="宋体" w:eastAsia="宋体" w:cs="宋体"/>
          <w:color w:val="000000" w:themeColor="text1"/>
          <w:kern w:val="0"/>
          <w:sz w:val="24"/>
          <w:szCs w:val="24"/>
          <w:lang w:val="en-US" w:eastAsia="zh-CN" w:bidi="ar"/>
          <w14:textFill>
            <w14:solidFill>
              <w14:schemeClr w14:val="tx1"/>
            </w14:solidFill>
          </w14:textFill>
        </w:rPr>
      </w:pPr>
    </w:p>
    <w:p>
      <w:pPr>
        <w:ind w:firstLine="1440" w:firstLineChars="600"/>
        <w:rPr>
          <w:rFonts w:hint="default" w:ascii="宋体" w:hAnsi="宋体" w:eastAsia="宋体" w:cs="宋体"/>
          <w:color w:val="000000" w:themeColor="text1"/>
          <w:kern w:val="0"/>
          <w:sz w:val="24"/>
          <w:szCs w:val="24"/>
          <w:lang w:val="en-US" w:eastAsia="zh-CN" w:bidi="ar"/>
          <w14:textFill>
            <w14:solidFill>
              <w14:schemeClr w14:val="tx1"/>
            </w14:solidFill>
          </w14:textFill>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F8B9B4A"/>
    <w:multiLevelType w:val="singleLevel"/>
    <w:tmpl w:val="1F8B9B4A"/>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NmMDIyNmYwMzU4ZDY2YjUxNGZjOGIwOTI4YmY2MmMifQ=="/>
  </w:docVars>
  <w:rsids>
    <w:rsidRoot w:val="352A30F2"/>
    <w:rsid w:val="16310FCE"/>
    <w:rsid w:val="1A404CAD"/>
    <w:rsid w:val="2E676D41"/>
    <w:rsid w:val="2FBC3540"/>
    <w:rsid w:val="352A30F2"/>
    <w:rsid w:val="48187ECC"/>
    <w:rsid w:val="67B4483D"/>
    <w:rsid w:val="67B712F9"/>
    <w:rsid w:val="777E44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Indent"/>
    <w:basedOn w:val="1"/>
    <w:uiPriority w:val="0"/>
    <w:pPr>
      <w:spacing w:after="120"/>
      <w:ind w:left="420" w:leftChars="200"/>
    </w:pPr>
    <w:rPr>
      <w:rFonts w:hAnsi="Calibri"/>
      <w:kern w:val="0"/>
      <w:szCs w:val="20"/>
    </w:rPr>
  </w:style>
  <w:style w:type="paragraph" w:styleId="3">
    <w:name w:val="Plain Text"/>
    <w:basedOn w:val="1"/>
    <w:qFormat/>
    <w:uiPriority w:val="0"/>
    <w:rPr>
      <w:rFonts w:ascii="宋体" w:hAnsi="Courier New" w:cs="宋体"/>
      <w:sz w:val="21"/>
      <w:szCs w:val="21"/>
    </w:rPr>
  </w:style>
  <w:style w:type="paragraph" w:styleId="4">
    <w:name w:val="Body Text First Indent 2"/>
    <w:basedOn w:val="2"/>
    <w:next w:val="1"/>
    <w:uiPriority w:val="0"/>
    <w:pPr>
      <w:ind w:firstLine="420" w:firstLineChars="200"/>
    </w:p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310</Words>
  <Characters>342</Characters>
  <Lines>0</Lines>
  <Paragraphs>0</Paragraphs>
  <TotalTime>1</TotalTime>
  <ScaleCrop>false</ScaleCrop>
  <LinksUpToDate>false</LinksUpToDate>
  <CharactersWithSpaces>346</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2024-06-21T00:53:00Z</dcterms:created>
  <dc:creator>邓小羊</dc:creator>
  <cp:lastModifiedBy>谭文婷</cp:lastModifiedBy>
  <dcterms:modified xsi:type="dcterms:W3CDTF">2024-08-07T09:06:53Z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A16F088548914DDAAFB237BBEAAB56C0_11</vt:lpwstr>
  </property>
</Properties>
</file>