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b w:val="0"/>
          <w:bCs w:val="0"/>
          <w:sz w:val="44"/>
          <w:szCs w:val="44"/>
          <w:highlight w:val="none"/>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left"/>
        <w:textAlignment w:val="auto"/>
        <w:rPr>
          <w:rFonts w:hint="default" w:ascii="Times New Roman" w:hAnsi="Times New Roman" w:eastAsia="黑体" w:cs="Times New Roman"/>
          <w:b w:val="0"/>
          <w:bCs w:val="0"/>
          <w:sz w:val="32"/>
          <w:szCs w:val="32"/>
          <w:highlight w:val="none"/>
          <w:lang w:val="en-US" w:eastAsia="zh-CN"/>
        </w:rPr>
      </w:pPr>
      <w:r>
        <w:rPr>
          <w:rFonts w:hint="eastAsia" w:ascii="Times New Roman" w:hAnsi="Times New Roman" w:eastAsia="黑体" w:cs="Times New Roman"/>
          <w:b w:val="0"/>
          <w:bCs w:val="0"/>
          <w:sz w:val="32"/>
          <w:szCs w:val="32"/>
          <w:highlight w:val="none"/>
          <w:lang w:val="en-US" w:eastAsia="zh-CN"/>
        </w:rPr>
        <w:t>附件2</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b w:val="0"/>
          <w:bCs w:val="0"/>
          <w:sz w:val="44"/>
          <w:szCs w:val="44"/>
          <w:highlight w:val="none"/>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b w:val="0"/>
          <w:bCs w:val="0"/>
          <w:sz w:val="44"/>
          <w:szCs w:val="44"/>
          <w:highlight w:val="none"/>
          <w:lang w:val="en-US" w:eastAsia="zh-CN"/>
        </w:rPr>
      </w:pPr>
      <w:r>
        <w:rPr>
          <w:rFonts w:hint="eastAsia" w:ascii="方正小标宋_GBK" w:hAnsi="方正小标宋_GBK" w:eastAsia="方正小标宋_GBK" w:cs="方正小标宋_GBK"/>
          <w:b w:val="0"/>
          <w:bCs w:val="0"/>
          <w:sz w:val="44"/>
          <w:szCs w:val="44"/>
          <w:highlight w:val="none"/>
        </w:rPr>
        <w:t>关于</w:t>
      </w:r>
      <w:r>
        <w:rPr>
          <w:rFonts w:hint="eastAsia" w:ascii="方正小标宋_GBK" w:hAnsi="方正小标宋_GBK" w:eastAsia="方正小标宋_GBK" w:cs="方正小标宋_GBK"/>
          <w:b w:val="0"/>
          <w:bCs w:val="0"/>
          <w:sz w:val="44"/>
          <w:szCs w:val="44"/>
          <w:highlight w:val="none"/>
          <w:lang w:eastAsia="zh-CN"/>
        </w:rPr>
        <w:t>抽检</w:t>
      </w:r>
      <w:r>
        <w:rPr>
          <w:rFonts w:hint="eastAsia" w:ascii="方正小标宋_GBK" w:hAnsi="方正小标宋_GBK" w:eastAsia="方正小标宋_GBK" w:cs="方正小标宋_GBK"/>
          <w:b w:val="0"/>
          <w:bCs w:val="0"/>
          <w:sz w:val="44"/>
          <w:szCs w:val="44"/>
          <w:highlight w:val="none"/>
          <w:lang w:val="en-US" w:eastAsia="zh-CN"/>
        </w:rPr>
        <w:t>不合格</w:t>
      </w:r>
      <w:r>
        <w:rPr>
          <w:rFonts w:hint="eastAsia" w:ascii="方正小标宋_GBK" w:hAnsi="方正小标宋_GBK" w:eastAsia="方正小标宋_GBK" w:cs="方正小标宋_GBK"/>
          <w:b w:val="0"/>
          <w:bCs w:val="0"/>
          <w:sz w:val="44"/>
          <w:szCs w:val="44"/>
          <w:highlight w:val="none"/>
          <w:lang w:eastAsia="zh-CN"/>
        </w:rPr>
        <w:t>项目</w:t>
      </w:r>
      <w:r>
        <w:rPr>
          <w:rFonts w:hint="eastAsia" w:ascii="方正小标宋_GBK" w:hAnsi="方正小标宋_GBK" w:eastAsia="方正小标宋_GBK" w:cs="方正小标宋_GBK"/>
          <w:b w:val="0"/>
          <w:bCs w:val="0"/>
          <w:sz w:val="44"/>
          <w:szCs w:val="44"/>
          <w:highlight w:val="none"/>
        </w:rPr>
        <w:t>的</w:t>
      </w:r>
      <w:r>
        <w:rPr>
          <w:rFonts w:hint="eastAsia" w:ascii="方正小标宋_GBK" w:hAnsi="方正小标宋_GBK" w:eastAsia="方正小标宋_GBK" w:cs="方正小标宋_GBK"/>
          <w:b w:val="0"/>
          <w:bCs w:val="0"/>
          <w:sz w:val="44"/>
          <w:szCs w:val="44"/>
          <w:highlight w:val="none"/>
          <w:lang w:val="en-US" w:eastAsia="zh-CN"/>
        </w:rPr>
        <w:t>解读</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b w:val="0"/>
          <w:bCs w:val="0"/>
          <w:sz w:val="44"/>
          <w:szCs w:val="44"/>
          <w:highlight w:val="none"/>
          <w:lang w:val="en-US" w:eastAsia="zh-CN"/>
        </w:rPr>
      </w:pPr>
    </w:p>
    <w:tbl>
      <w:tblPr>
        <w:tblStyle w:val="3"/>
        <w:tblW w:w="97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
        <w:gridCol w:w="1356"/>
        <w:gridCol w:w="1788"/>
        <w:gridCol w:w="1908"/>
        <w:gridCol w:w="1272"/>
        <w:gridCol w:w="1296"/>
        <w:gridCol w:w="1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blHeader/>
          <w:jc w:val="center"/>
        </w:trPr>
        <w:tc>
          <w:tcPr>
            <w:tcW w:w="488" w:type="dxa"/>
            <w:vAlign w:val="center"/>
          </w:tcPr>
          <w:p>
            <w:pPr>
              <w:spacing w:line="240" w:lineRule="auto"/>
              <w:jc w:val="center"/>
              <w:rPr>
                <w:rFonts w:hint="eastAsia" w:ascii="Times New Roman" w:hAnsi="Times New Roman" w:eastAsia="仿宋" w:cs="仿宋"/>
                <w:color w:val="auto"/>
                <w:sz w:val="21"/>
                <w:szCs w:val="21"/>
              </w:rPr>
            </w:pPr>
            <w:r>
              <w:rPr>
                <w:rFonts w:hint="eastAsia" w:ascii="Times New Roman" w:hAnsi="Times New Roman" w:eastAsia="仿宋" w:cs="仿宋"/>
                <w:color w:val="auto"/>
                <w:sz w:val="21"/>
                <w:szCs w:val="21"/>
              </w:rPr>
              <w:t>序号</w:t>
            </w:r>
          </w:p>
        </w:tc>
        <w:tc>
          <w:tcPr>
            <w:tcW w:w="1356" w:type="dxa"/>
            <w:vAlign w:val="center"/>
          </w:tcPr>
          <w:p>
            <w:pPr>
              <w:spacing w:line="240" w:lineRule="auto"/>
              <w:jc w:val="center"/>
              <w:rPr>
                <w:rFonts w:hint="eastAsia" w:ascii="Times New Roman" w:hAnsi="Times New Roman" w:eastAsia="仿宋" w:cs="仿宋"/>
                <w:color w:val="auto"/>
                <w:sz w:val="21"/>
                <w:szCs w:val="21"/>
              </w:rPr>
            </w:pPr>
            <w:r>
              <w:rPr>
                <w:rFonts w:hint="eastAsia" w:ascii="Times New Roman" w:hAnsi="Times New Roman" w:eastAsia="仿宋" w:cs="仿宋"/>
                <w:color w:val="auto"/>
                <w:sz w:val="21"/>
                <w:szCs w:val="21"/>
              </w:rPr>
              <w:t>样品</w:t>
            </w:r>
          </w:p>
          <w:p>
            <w:pPr>
              <w:spacing w:line="240" w:lineRule="auto"/>
              <w:jc w:val="center"/>
              <w:rPr>
                <w:rFonts w:hint="eastAsia" w:ascii="Times New Roman" w:hAnsi="Times New Roman" w:eastAsia="仿宋" w:cs="仿宋"/>
                <w:color w:val="auto"/>
                <w:sz w:val="21"/>
                <w:szCs w:val="21"/>
              </w:rPr>
            </w:pPr>
            <w:r>
              <w:rPr>
                <w:rFonts w:hint="eastAsia" w:ascii="Times New Roman" w:hAnsi="Times New Roman" w:eastAsia="仿宋" w:cs="仿宋"/>
                <w:color w:val="auto"/>
                <w:sz w:val="21"/>
                <w:szCs w:val="21"/>
              </w:rPr>
              <w:t>名称</w:t>
            </w:r>
          </w:p>
        </w:tc>
        <w:tc>
          <w:tcPr>
            <w:tcW w:w="1788" w:type="dxa"/>
            <w:vAlign w:val="center"/>
          </w:tcPr>
          <w:p>
            <w:pPr>
              <w:spacing w:line="490" w:lineRule="exact"/>
              <w:jc w:val="center"/>
              <w:rPr>
                <w:rFonts w:hint="eastAsia" w:ascii="Times New Roman" w:hAnsi="Times New Roman" w:eastAsia="仿宋" w:cs="仿宋"/>
                <w:color w:val="auto"/>
                <w:sz w:val="21"/>
                <w:szCs w:val="21"/>
              </w:rPr>
            </w:pPr>
            <w:r>
              <w:rPr>
                <w:rFonts w:hint="eastAsia" w:ascii="Times New Roman" w:hAnsi="Times New Roman" w:eastAsia="仿宋" w:cs="仿宋"/>
                <w:color w:val="auto"/>
                <w:sz w:val="21"/>
                <w:szCs w:val="21"/>
              </w:rPr>
              <w:t>被抽样单位名称</w:t>
            </w:r>
          </w:p>
        </w:tc>
        <w:tc>
          <w:tcPr>
            <w:tcW w:w="1908" w:type="dxa"/>
            <w:vAlign w:val="center"/>
          </w:tcPr>
          <w:p>
            <w:pPr>
              <w:spacing w:line="490" w:lineRule="exact"/>
              <w:jc w:val="center"/>
              <w:rPr>
                <w:rFonts w:hint="eastAsia" w:ascii="Times New Roman" w:hAnsi="Times New Roman" w:eastAsia="仿宋" w:cs="仿宋"/>
                <w:color w:val="auto"/>
                <w:sz w:val="21"/>
                <w:szCs w:val="21"/>
              </w:rPr>
            </w:pPr>
            <w:r>
              <w:rPr>
                <w:rFonts w:hint="eastAsia" w:ascii="Times New Roman" w:hAnsi="Times New Roman" w:eastAsia="仿宋" w:cs="仿宋"/>
                <w:color w:val="auto"/>
                <w:sz w:val="21"/>
                <w:szCs w:val="21"/>
              </w:rPr>
              <w:t>被抽样单位地址</w:t>
            </w:r>
          </w:p>
        </w:tc>
        <w:tc>
          <w:tcPr>
            <w:tcW w:w="1272" w:type="dxa"/>
            <w:vAlign w:val="center"/>
          </w:tcPr>
          <w:p>
            <w:pPr>
              <w:spacing w:line="490" w:lineRule="exact"/>
              <w:jc w:val="center"/>
              <w:rPr>
                <w:rFonts w:hint="eastAsia" w:ascii="Times New Roman" w:hAnsi="Times New Roman" w:eastAsia="仿宋" w:cs="仿宋"/>
                <w:color w:val="auto"/>
                <w:sz w:val="21"/>
                <w:szCs w:val="21"/>
              </w:rPr>
            </w:pPr>
            <w:r>
              <w:rPr>
                <w:rFonts w:hint="eastAsia" w:ascii="Times New Roman" w:hAnsi="Times New Roman" w:eastAsia="仿宋" w:cs="仿宋"/>
                <w:color w:val="auto"/>
                <w:sz w:val="21"/>
                <w:szCs w:val="21"/>
              </w:rPr>
              <w:t>参数名称</w:t>
            </w:r>
          </w:p>
        </w:tc>
        <w:tc>
          <w:tcPr>
            <w:tcW w:w="1296" w:type="dxa"/>
            <w:vAlign w:val="center"/>
          </w:tcPr>
          <w:p>
            <w:pPr>
              <w:spacing w:line="490" w:lineRule="exact"/>
              <w:jc w:val="center"/>
              <w:rPr>
                <w:rFonts w:hint="eastAsia" w:ascii="Times New Roman" w:hAnsi="Times New Roman" w:eastAsia="仿宋" w:cs="仿宋"/>
                <w:color w:val="auto"/>
                <w:sz w:val="21"/>
                <w:szCs w:val="21"/>
              </w:rPr>
            </w:pPr>
            <w:r>
              <w:rPr>
                <w:rFonts w:hint="eastAsia" w:ascii="Times New Roman" w:hAnsi="Times New Roman" w:eastAsia="仿宋" w:cs="仿宋"/>
                <w:color w:val="auto"/>
                <w:sz w:val="21"/>
                <w:szCs w:val="21"/>
              </w:rPr>
              <w:t>检测结果</w:t>
            </w:r>
          </w:p>
        </w:tc>
        <w:tc>
          <w:tcPr>
            <w:tcW w:w="1596" w:type="dxa"/>
            <w:vAlign w:val="center"/>
          </w:tcPr>
          <w:p>
            <w:pPr>
              <w:spacing w:line="240" w:lineRule="auto"/>
              <w:ind w:left="-105" w:leftChars="-50" w:right="-105" w:rightChars="-50"/>
              <w:jc w:val="center"/>
              <w:textAlignment w:val="center"/>
              <w:rPr>
                <w:rFonts w:hint="eastAsia" w:ascii="Times New Roman" w:hAnsi="Times New Roman" w:eastAsia="仿宋" w:cs="仿宋"/>
                <w:color w:val="auto"/>
                <w:sz w:val="21"/>
                <w:szCs w:val="21"/>
              </w:rPr>
            </w:pPr>
            <w:r>
              <w:rPr>
                <w:rFonts w:hint="eastAsia" w:ascii="Times New Roman" w:hAnsi="Times New Roman" w:eastAsia="仿宋" w:cs="仿宋"/>
                <w:color w:val="auto"/>
                <w:sz w:val="21"/>
                <w:szCs w:val="21"/>
              </w:rPr>
              <w:t>判定标</w:t>
            </w:r>
          </w:p>
          <w:p>
            <w:pPr>
              <w:spacing w:line="240" w:lineRule="auto"/>
              <w:jc w:val="center"/>
              <w:rPr>
                <w:rFonts w:hint="eastAsia" w:ascii="Times New Roman" w:hAnsi="Times New Roman" w:eastAsia="仿宋" w:cs="仿宋"/>
                <w:color w:val="auto"/>
                <w:sz w:val="21"/>
                <w:szCs w:val="21"/>
              </w:rPr>
            </w:pPr>
            <w:r>
              <w:rPr>
                <w:rFonts w:hint="eastAsia" w:ascii="Times New Roman" w:hAnsi="Times New Roman" w:eastAsia="仿宋" w:cs="仿宋"/>
                <w:color w:val="auto"/>
                <w:sz w:val="21"/>
                <w:szCs w:val="21"/>
              </w:rPr>
              <w:t>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488" w:type="dxa"/>
            <w:vAlign w:val="center"/>
          </w:tcPr>
          <w:p>
            <w:pPr>
              <w:spacing w:line="490" w:lineRule="exact"/>
              <w:jc w:val="center"/>
              <w:rPr>
                <w:rFonts w:hint="eastAsia" w:ascii="Times New Roman" w:hAnsi="Times New Roman" w:eastAsia="仿宋" w:cs="仿宋"/>
                <w:color w:val="auto"/>
                <w:sz w:val="21"/>
                <w:szCs w:val="21"/>
              </w:rPr>
            </w:pPr>
            <w:r>
              <w:rPr>
                <w:rFonts w:hint="eastAsia" w:ascii="Times New Roman" w:hAnsi="Times New Roman" w:eastAsia="仿宋" w:cs="仿宋"/>
                <w:color w:val="auto"/>
                <w:sz w:val="21"/>
                <w:szCs w:val="21"/>
              </w:rPr>
              <w:t>1</w:t>
            </w:r>
          </w:p>
        </w:tc>
        <w:tc>
          <w:tcPr>
            <w:tcW w:w="1356" w:type="dxa"/>
            <w:vAlign w:val="center"/>
          </w:tcPr>
          <w:p>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番鸭</w:t>
            </w:r>
          </w:p>
        </w:tc>
        <w:tc>
          <w:tcPr>
            <w:tcW w:w="1788" w:type="dxa"/>
            <w:vAlign w:val="center"/>
          </w:tcPr>
          <w:p>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惠州大亚湾永学生鲜档</w:t>
            </w:r>
          </w:p>
        </w:tc>
        <w:tc>
          <w:tcPr>
            <w:tcW w:w="1908" w:type="dxa"/>
            <w:vAlign w:val="center"/>
          </w:tcPr>
          <w:p>
            <w:pPr>
              <w:jc w:val="center"/>
              <w:rPr>
                <w:rFonts w:hint="default" w:ascii="仿宋" w:hAnsi="仿宋" w:eastAsia="仿宋" w:cs="仿宋"/>
                <w:color w:val="auto"/>
                <w:sz w:val="21"/>
                <w:szCs w:val="21"/>
                <w:lang w:val="en-US" w:eastAsia="zh-CN"/>
              </w:rPr>
            </w:pPr>
            <w:r>
              <w:rPr>
                <w:rFonts w:hint="default" w:ascii="仿宋" w:hAnsi="仿宋" w:eastAsia="仿宋" w:cs="仿宋"/>
                <w:color w:val="auto"/>
                <w:sz w:val="21"/>
                <w:szCs w:val="21"/>
                <w:lang w:val="en-US" w:eastAsia="zh-CN"/>
              </w:rPr>
              <w:t>惠州大亚湾</w:t>
            </w:r>
            <w:r>
              <w:rPr>
                <w:rFonts w:hint="eastAsia" w:ascii="仿宋" w:hAnsi="仿宋" w:eastAsia="仿宋" w:cs="仿宋"/>
                <w:color w:val="auto"/>
                <w:sz w:val="21"/>
                <w:szCs w:val="21"/>
                <w:lang w:val="en-US" w:eastAsia="zh-CN"/>
              </w:rPr>
              <w:t>澳头岩前移民村市场</w:t>
            </w:r>
          </w:p>
        </w:tc>
        <w:tc>
          <w:tcPr>
            <w:tcW w:w="1272" w:type="dxa"/>
            <w:vAlign w:val="center"/>
          </w:tcPr>
          <w:p>
            <w:pPr>
              <w:jc w:val="center"/>
              <w:rPr>
                <w:rFonts w:hint="default" w:ascii="仿宋" w:hAnsi="仿宋" w:eastAsia="仿宋" w:cs="仿宋"/>
                <w:color w:val="auto"/>
                <w:sz w:val="21"/>
                <w:szCs w:val="21"/>
                <w:lang w:val="en-US" w:eastAsia="zh-CN"/>
              </w:rPr>
            </w:pPr>
            <w:r>
              <w:rPr>
                <w:rFonts w:hint="default" w:ascii="仿宋" w:hAnsi="仿宋" w:eastAsia="仿宋" w:cs="仿宋"/>
                <w:color w:val="auto"/>
                <w:sz w:val="21"/>
                <w:szCs w:val="21"/>
                <w:lang w:val="en-US" w:eastAsia="zh-CN"/>
              </w:rPr>
              <w:t>磺胺类(总量)</w:t>
            </w:r>
          </w:p>
        </w:tc>
        <w:tc>
          <w:tcPr>
            <w:tcW w:w="1296" w:type="dxa"/>
            <w:vAlign w:val="center"/>
          </w:tcPr>
          <w:p>
            <w:pPr>
              <w:jc w:val="center"/>
              <w:rPr>
                <w:rFonts w:hint="default" w:ascii="Times New Roman" w:hAnsi="Times New Roman" w:eastAsia="仿宋" w:cs="Times New Roman"/>
                <w:color w:val="auto"/>
                <w:sz w:val="21"/>
                <w:szCs w:val="21"/>
                <w:lang w:val="en-US" w:eastAsia="zh-CN"/>
              </w:rPr>
            </w:pPr>
            <w:r>
              <w:rPr>
                <w:rFonts w:hint="default" w:ascii="Times New Roman" w:hAnsi="Times New Roman" w:eastAsia="仿宋" w:cs="Times New Roman"/>
                <w:color w:val="auto"/>
                <w:sz w:val="21"/>
                <w:szCs w:val="21"/>
                <w:lang w:val="en-US" w:eastAsia="zh-CN"/>
              </w:rPr>
              <w:t>376.42µg/kg</w:t>
            </w:r>
          </w:p>
        </w:tc>
        <w:tc>
          <w:tcPr>
            <w:tcW w:w="1596" w:type="dxa"/>
            <w:vAlign w:val="center"/>
          </w:tcPr>
          <w:p>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≤100</w:t>
            </w:r>
            <w:r>
              <w:rPr>
                <w:rFonts w:hint="default" w:ascii="Times New Roman" w:hAnsi="Times New Roman" w:eastAsia="仿宋" w:cs="Times New Roman"/>
                <w:color w:val="auto"/>
                <w:sz w:val="21"/>
                <w:szCs w:val="21"/>
                <w:lang w:val="en-US" w:eastAsia="zh-CN"/>
              </w:rPr>
              <w:t>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488" w:type="dxa"/>
            <w:vAlign w:val="center"/>
          </w:tcPr>
          <w:p>
            <w:pPr>
              <w:spacing w:line="490" w:lineRule="exact"/>
              <w:jc w:val="center"/>
              <w:rPr>
                <w:rFonts w:hint="eastAsia" w:ascii="Times New Roman" w:hAnsi="Times New Roman" w:eastAsia="仿宋" w:cs="仿宋"/>
                <w:color w:val="auto"/>
                <w:sz w:val="21"/>
                <w:szCs w:val="21"/>
                <w:lang w:val="en-US" w:eastAsia="zh-CN"/>
              </w:rPr>
            </w:pPr>
            <w:r>
              <w:rPr>
                <w:rFonts w:hint="eastAsia" w:ascii="Times New Roman" w:hAnsi="Times New Roman" w:eastAsia="仿宋" w:cs="仿宋"/>
                <w:color w:val="auto"/>
                <w:sz w:val="21"/>
                <w:szCs w:val="21"/>
                <w:lang w:val="en-US" w:eastAsia="zh-CN"/>
              </w:rPr>
              <w:t>2</w:t>
            </w:r>
          </w:p>
        </w:tc>
        <w:tc>
          <w:tcPr>
            <w:tcW w:w="1356" w:type="dxa"/>
            <w:vAlign w:val="center"/>
          </w:tcPr>
          <w:p>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豆角（豇豆）</w:t>
            </w:r>
          </w:p>
        </w:tc>
        <w:tc>
          <w:tcPr>
            <w:tcW w:w="1788" w:type="dxa"/>
            <w:vAlign w:val="center"/>
          </w:tcPr>
          <w:p>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惠州大亚湾新家华购物广场</w:t>
            </w:r>
          </w:p>
        </w:tc>
        <w:tc>
          <w:tcPr>
            <w:tcW w:w="1908" w:type="dxa"/>
            <w:vAlign w:val="center"/>
          </w:tcPr>
          <w:p>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惠州大亚湾西区新寮村龙山二路大世界商业城</w:t>
            </w:r>
          </w:p>
        </w:tc>
        <w:tc>
          <w:tcPr>
            <w:tcW w:w="1272" w:type="dxa"/>
            <w:vAlign w:val="center"/>
          </w:tcPr>
          <w:p>
            <w:pPr>
              <w:numPr>
                <w:ilvl w:val="0"/>
                <w:numId w:val="0"/>
              </w:numP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克百威（以克百威及3-羟基克百威之和计）</w:t>
            </w:r>
          </w:p>
        </w:tc>
        <w:tc>
          <w:tcPr>
            <w:tcW w:w="1296" w:type="dxa"/>
            <w:vAlign w:val="center"/>
          </w:tcPr>
          <w:p>
            <w:pPr>
              <w:jc w:val="center"/>
              <w:rPr>
                <w:rFonts w:hint="default" w:ascii="Times New Roman" w:hAnsi="Times New Roman" w:eastAsia="仿宋" w:cs="Times New Roman"/>
                <w:color w:val="auto"/>
                <w:sz w:val="21"/>
                <w:szCs w:val="21"/>
                <w:lang w:val="en-US" w:eastAsia="zh-CN"/>
              </w:rPr>
            </w:pPr>
            <w:r>
              <w:rPr>
                <w:rFonts w:hint="eastAsia" w:ascii="Times New Roman" w:hAnsi="Times New Roman" w:eastAsia="仿宋" w:cs="Times New Roman"/>
                <w:color w:val="auto"/>
                <w:sz w:val="21"/>
                <w:szCs w:val="21"/>
                <w:lang w:val="en-US" w:eastAsia="zh-CN"/>
              </w:rPr>
              <w:t>0.10mg/kg</w:t>
            </w:r>
          </w:p>
        </w:tc>
        <w:tc>
          <w:tcPr>
            <w:tcW w:w="1596" w:type="dxa"/>
            <w:vAlign w:val="center"/>
          </w:tcPr>
          <w:p>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≤0.02</w:t>
            </w:r>
            <w:r>
              <w:rPr>
                <w:rFonts w:hint="eastAsia" w:ascii="Times New Roman" w:hAnsi="Times New Roman" w:eastAsia="仿宋" w:cs="Times New Roman"/>
                <w:color w:val="auto"/>
                <w:sz w:val="21"/>
                <w:szCs w:val="21"/>
                <w:lang w:val="en-US" w:eastAsia="zh-CN"/>
              </w:rPr>
              <w:t>mg/kg</w:t>
            </w:r>
          </w:p>
        </w:tc>
      </w:tr>
    </w:tbl>
    <w:p>
      <w:pPr>
        <w:jc w:val="center"/>
        <w:rPr>
          <w:rFonts w:hint="default" w:ascii="宋体" w:hAnsi="宋体" w:eastAsia="宋体" w:cs="宋体"/>
          <w:b/>
          <w:bCs/>
          <w:i w:val="0"/>
          <w:iCs w:val="0"/>
          <w:color w:val="000000"/>
          <w:kern w:val="0"/>
          <w:sz w:val="28"/>
          <w:szCs w:val="28"/>
          <w:u w:val="none"/>
          <w:lang w:val="en-US" w:eastAsia="zh-CN" w:bidi="ar"/>
        </w:rPr>
      </w:pPr>
    </w:p>
    <w:p>
      <w:pPr>
        <w:ind w:firstLine="1440" w:firstLineChars="600"/>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磺胺类总量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磺胺类药物是一种人工合成的抗菌谱较广、性质稳定、使用简便的抗菌药，对大多数革兰氏阳性菌和阴性菌都有较强抑制作用。根据《食品安全国家标准 食品中兽药最大残留限量》（GB 31650—2019）中规定，磺胺类总量在鸭肉中的最大残留限量为≤100µg/kg。</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磺胺类药物在畜牧生产中应用十分广泛，主要在动物疾病防治方面有显著的疗效，可以治疗</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"https://baike.so.com/doc/5901514-6114413.html"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禽霍乱</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"https://baike.so.com/doc/5901152-6114051.html"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禽伤寒</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"https://baike.so.com/doc/5901160-6114059.html"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禽副伤寒</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"https://baike.so.com/doc/5901448-6114347.html"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禽白痢</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"https://baike.so.com/doc/6241990-6455384.html"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鸡传染性鼻炎</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、火鸡亚利桑那病等，此外对家禽各种</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"https://baike.so.com/doc/5911175-6124083.html"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球虫病</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、卡氏白细胞原虫病等，也有较好效果。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磺胺类药物虽然应用广泛，但与此同时，这类药物显著的毒副作用也引起了人们的广泛关注。例如:影响泌尿系统功能，引起</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"https://baike.so.com/doc/6807233-7024184.html"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结晶尿</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"https://baike.so.com/doc/5368498-5604314.html"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血尿</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等反应及致癌性。磺胺类药物吸收后分布于全身各组织中，以血、肝、肾含量最高。且与</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"https://baike.so.com/doc/5742621-5955374.html"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血浆蛋白</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结合率高，所以在体内维持时间长。还能透入脑膜积液和其他积液，以及通过胎盘进入胎循环，对孕妇及婴儿及其不利，还易在尿中析出结晶，导致结石而损害肾脏</w:t>
      </w:r>
      <w:r>
        <w:rPr>
          <w:rFonts w:hint="eastAsia" w:ascii="Times New Roman" w:hAnsi="Times New Roman" w:eastAsia="仿宋_GB2312" w:cs="Times New Roman"/>
          <w:b w:val="0"/>
          <w:bCs w:val="0"/>
          <w:kern w:val="2"/>
          <w:sz w:val="32"/>
          <w:szCs w:val="32"/>
          <w:lang w:val="en-US" w:eastAsia="zh-CN" w:bidi="ar-SA"/>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 xml:space="preserve"> 磺胺类（总量）超标的主要原因可能是畜牧养殖过程中为控制疾病超量使用或不遵循休药期规定。 </w:t>
      </w:r>
      <w:bookmarkStart w:id="0" w:name="_GoBack"/>
      <w:bookmarkEnd w:id="0"/>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二、克百威（以克百威及3-羟基克百威之和计）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克百威又名呋喃丹，是一种氨基甲酸酯类杀虫剂和杀线虫剂。《食品安全国家标准 食品中农药最大残留限量》（GB 2763-2021）中规定，克百威在豆类蔬菜中的最大残留限量为0.02 mg/kg。</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长期食用克百威农药残留超标的食品会存在很多风险，可能会引起头昏、头痛、乏力、面色苍白、呕吐、多汗、流涎、瞳孔缩小、视力模糊，严重者出现血压下降、意识不清，皮肤出现</w:t>
      </w:r>
      <w:r>
        <w:rPr>
          <w:rFonts w:hint="eastAsia" w:ascii="Times New Roman" w:hAnsi="Times New Roman" w:eastAsia="仿宋_GB2312" w:cs="Times New Roman"/>
          <w:b w:val="0"/>
          <w:bCs w:val="0"/>
          <w:kern w:val="2"/>
          <w:sz w:val="32"/>
          <w:szCs w:val="32"/>
          <w:lang w:val="en-US" w:eastAsia="zh-CN" w:bidi="ar-SA"/>
        </w:rPr>
        <w:fldChar w:fldCharType="begin"/>
      </w:r>
      <w:r>
        <w:rPr>
          <w:rFonts w:hint="eastAsia" w:ascii="Times New Roman" w:hAnsi="Times New Roman" w:eastAsia="仿宋_GB2312" w:cs="Times New Roman"/>
          <w:b w:val="0"/>
          <w:bCs w:val="0"/>
          <w:kern w:val="2"/>
          <w:sz w:val="32"/>
          <w:szCs w:val="32"/>
          <w:lang w:val="en-US" w:eastAsia="zh-CN" w:bidi="ar-SA"/>
        </w:rPr>
        <w:instrText xml:space="preserve"> HYPERLINK "https://baike.so.com/doc/5361899-5597458.html" \t "https://baike.so.com/doc/_blank" </w:instrText>
      </w:r>
      <w:r>
        <w:rPr>
          <w:rFonts w:hint="eastAsia" w:ascii="Times New Roman" w:hAnsi="Times New Roman" w:eastAsia="仿宋_GB2312" w:cs="Times New Roman"/>
          <w:b w:val="0"/>
          <w:bCs w:val="0"/>
          <w:kern w:val="2"/>
          <w:sz w:val="32"/>
          <w:szCs w:val="32"/>
          <w:lang w:val="en-US" w:eastAsia="zh-CN" w:bidi="ar-SA"/>
        </w:rPr>
        <w:fldChar w:fldCharType="separate"/>
      </w:r>
      <w:r>
        <w:rPr>
          <w:rFonts w:hint="eastAsia" w:ascii="Times New Roman" w:hAnsi="Times New Roman" w:eastAsia="仿宋_GB2312" w:cs="Times New Roman"/>
          <w:b w:val="0"/>
          <w:bCs w:val="0"/>
          <w:kern w:val="2"/>
          <w:sz w:val="32"/>
          <w:szCs w:val="32"/>
          <w:lang w:val="en-US" w:eastAsia="zh-CN" w:bidi="ar-SA"/>
        </w:rPr>
        <w:t>接触性皮炎</w:t>
      </w:r>
      <w:r>
        <w:rPr>
          <w:rFonts w:hint="eastAsia" w:ascii="Times New Roman" w:hAnsi="Times New Roman" w:eastAsia="仿宋_GB2312" w:cs="Times New Roman"/>
          <w:b w:val="0"/>
          <w:bCs w:val="0"/>
          <w:kern w:val="2"/>
          <w:sz w:val="32"/>
          <w:szCs w:val="32"/>
          <w:lang w:val="en-US" w:eastAsia="zh-CN" w:bidi="ar-SA"/>
        </w:rPr>
        <w:fldChar w:fldCharType="end"/>
      </w:r>
      <w:r>
        <w:rPr>
          <w:rFonts w:hint="eastAsia" w:ascii="Times New Roman" w:hAnsi="Times New Roman" w:eastAsia="仿宋_GB2312" w:cs="Times New Roman"/>
          <w:b w:val="0"/>
          <w:bCs w:val="0"/>
          <w:kern w:val="2"/>
          <w:sz w:val="32"/>
          <w:szCs w:val="32"/>
          <w:lang w:val="en-US" w:eastAsia="zh-CN" w:bidi="ar-SA"/>
        </w:rPr>
        <w:t>如风疹，局部红肿痛痒，</w:t>
      </w:r>
      <w:r>
        <w:rPr>
          <w:rFonts w:hint="eastAsia" w:ascii="Times New Roman" w:hAnsi="Times New Roman" w:eastAsia="仿宋_GB2312" w:cs="Times New Roman"/>
          <w:b w:val="0"/>
          <w:bCs w:val="0"/>
          <w:kern w:val="2"/>
          <w:sz w:val="32"/>
          <w:szCs w:val="32"/>
          <w:lang w:val="en-US" w:eastAsia="zh-CN" w:bidi="ar-SA"/>
        </w:rPr>
        <w:fldChar w:fldCharType="begin"/>
      </w:r>
      <w:r>
        <w:rPr>
          <w:rFonts w:hint="eastAsia" w:ascii="Times New Roman" w:hAnsi="Times New Roman" w:eastAsia="仿宋_GB2312" w:cs="Times New Roman"/>
          <w:b w:val="0"/>
          <w:bCs w:val="0"/>
          <w:kern w:val="2"/>
          <w:sz w:val="32"/>
          <w:szCs w:val="32"/>
          <w:lang w:val="en-US" w:eastAsia="zh-CN" w:bidi="ar-SA"/>
        </w:rPr>
        <w:instrText xml:space="preserve"> HYPERLINK "https://baike.so.com/doc/6769039-6984153.html" \t "https://baike.so.com/doc/_blank" </w:instrText>
      </w:r>
      <w:r>
        <w:rPr>
          <w:rFonts w:hint="eastAsia" w:ascii="Times New Roman" w:hAnsi="Times New Roman" w:eastAsia="仿宋_GB2312" w:cs="Times New Roman"/>
          <w:b w:val="0"/>
          <w:bCs w:val="0"/>
          <w:kern w:val="2"/>
          <w:sz w:val="32"/>
          <w:szCs w:val="32"/>
          <w:lang w:val="en-US" w:eastAsia="zh-CN" w:bidi="ar-SA"/>
        </w:rPr>
        <w:fldChar w:fldCharType="separate"/>
      </w:r>
      <w:r>
        <w:rPr>
          <w:rFonts w:hint="eastAsia" w:ascii="Times New Roman" w:hAnsi="Times New Roman" w:eastAsia="仿宋_GB2312" w:cs="Times New Roman"/>
          <w:b w:val="0"/>
          <w:bCs w:val="0"/>
          <w:kern w:val="2"/>
          <w:sz w:val="32"/>
          <w:szCs w:val="32"/>
          <w:lang w:val="en-US" w:eastAsia="zh-CN" w:bidi="ar-SA"/>
        </w:rPr>
        <w:t>眼结膜</w:t>
      </w:r>
      <w:r>
        <w:rPr>
          <w:rFonts w:hint="eastAsia" w:ascii="Times New Roman" w:hAnsi="Times New Roman" w:eastAsia="仿宋_GB2312" w:cs="Times New Roman"/>
          <w:b w:val="0"/>
          <w:bCs w:val="0"/>
          <w:kern w:val="2"/>
          <w:sz w:val="32"/>
          <w:szCs w:val="32"/>
          <w:lang w:val="en-US" w:eastAsia="zh-CN" w:bidi="ar-SA"/>
        </w:rPr>
        <w:fldChar w:fldCharType="end"/>
      </w:r>
      <w:r>
        <w:rPr>
          <w:rFonts w:hint="eastAsia" w:ascii="Times New Roman" w:hAnsi="Times New Roman" w:eastAsia="仿宋_GB2312" w:cs="Times New Roman"/>
          <w:b w:val="0"/>
          <w:bCs w:val="0"/>
          <w:kern w:val="2"/>
          <w:sz w:val="32"/>
          <w:szCs w:val="32"/>
          <w:lang w:val="en-US" w:eastAsia="zh-CN" w:bidi="ar-SA"/>
        </w:rPr>
        <w:t>充血、流泪、胸闷、呼吸困难等问题。</w:t>
      </w:r>
    </w:p>
    <w:p>
      <w:pPr>
        <w:ind w:firstLine="1440" w:firstLineChars="600"/>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pStyle w:val="2"/>
        <w:rPr>
          <w:rFonts w:hint="default" w:ascii="宋体" w:hAnsi="宋体" w:eastAsia="宋体" w:cs="宋体"/>
          <w:color w:val="000000" w:themeColor="text1"/>
          <w:kern w:val="0"/>
          <w:sz w:val="24"/>
          <w:szCs w:val="24"/>
          <w:lang w:val="en-US" w:eastAsia="zh-CN" w:bidi="ar"/>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8B9B4A"/>
    <w:multiLevelType w:val="singleLevel"/>
    <w:tmpl w:val="1F8B9B4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2OTQ1MTMzNWFiNzMxYWVkYTZmNGJkYTk2YzhhZmQifQ=="/>
  </w:docVars>
  <w:rsids>
    <w:rsidRoot w:val="352A30F2"/>
    <w:rsid w:val="0DE276B7"/>
    <w:rsid w:val="13DE184E"/>
    <w:rsid w:val="3279792D"/>
    <w:rsid w:val="352A30F2"/>
    <w:rsid w:val="47B34108"/>
    <w:rsid w:val="58A85C36"/>
    <w:rsid w:val="70974F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1133</Words>
  <Characters>1375</Characters>
  <Lines>0</Lines>
  <Paragraphs>0</Paragraphs>
  <TotalTime>1</TotalTime>
  <ScaleCrop>false</ScaleCrop>
  <LinksUpToDate>false</LinksUpToDate>
  <CharactersWithSpaces>1454</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2024-06-21T00:53:00Z</dcterms:created>
  <dc:creator>邓小羊</dc:creator>
  <cp:lastModifiedBy>谭文婷</cp:lastModifiedBy>
  <dcterms:modified xsi:type="dcterms:W3CDTF">2024-10-14T03:26:26Z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A16F088548914DDAAFB237BBEAAB56C0_11</vt:lpwstr>
  </property>
</Properties>
</file>