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left"/>
        <w:textAlignment w:val="auto"/>
        <w:rPr>
          <w:rFonts w:hint="default"/>
          <w:lang w:val="en-US" w:eastAsia="zh-CN"/>
        </w:rPr>
      </w:pPr>
      <w:r>
        <w:rPr>
          <w:rFonts w:hint="default" w:ascii="Times New Roman" w:hAnsi="Times New Roman" w:eastAsia="黑体" w:cs="Times New Roman"/>
          <w:b w:val="0"/>
          <w:bCs w:val="0"/>
          <w:sz w:val="32"/>
          <w:szCs w:val="32"/>
          <w:highlight w:val="none"/>
          <w:lang w:eastAsia="zh-CN"/>
        </w:rPr>
        <w:t>附件</w:t>
      </w:r>
      <w:r>
        <w:rPr>
          <w:rFonts w:hint="eastAsia" w:ascii="Times New Roman" w:hAnsi="Times New Roman" w:eastAsia="黑体" w:cs="Times New Roman"/>
          <w:b w:val="0"/>
          <w:bCs w:val="0"/>
          <w:sz w:val="32"/>
          <w:szCs w:val="32"/>
          <w:highlight w:val="none"/>
          <w:lang w:val="en-US" w:eastAsia="zh-CN"/>
        </w:rPr>
        <w:t>2</w:t>
      </w: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b w:val="0"/>
          <w:bCs w:val="0"/>
          <w:sz w:val="44"/>
          <w:szCs w:val="44"/>
          <w:highlight w:val="none"/>
        </w:rPr>
      </w:pP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default" w:ascii="宋体" w:hAnsi="宋体" w:eastAsia="宋体" w:cs="宋体"/>
          <w:b/>
          <w:bCs/>
          <w:i w:val="0"/>
          <w:iCs w:val="0"/>
          <w:color w:val="000000"/>
          <w:kern w:val="0"/>
          <w:sz w:val="32"/>
          <w:szCs w:val="32"/>
          <w:u w:val="none"/>
          <w:lang w:val="en-US" w:eastAsia="zh-CN" w:bidi="ar"/>
        </w:rPr>
      </w:pPr>
      <w:r>
        <w:rPr>
          <w:rFonts w:hint="eastAsia" w:ascii="方正小标宋_GBK" w:hAnsi="方正小标宋_GBK" w:eastAsia="方正小标宋_GBK" w:cs="方正小标宋_GBK"/>
          <w:b w:val="0"/>
          <w:bCs w:val="0"/>
          <w:sz w:val="44"/>
          <w:szCs w:val="44"/>
          <w:highlight w:val="none"/>
        </w:rPr>
        <w:t>关于</w:t>
      </w:r>
      <w:r>
        <w:rPr>
          <w:rFonts w:hint="eastAsia" w:ascii="方正小标宋_GBK" w:hAnsi="方正小标宋_GBK" w:eastAsia="方正小标宋_GBK" w:cs="方正小标宋_GBK"/>
          <w:b w:val="0"/>
          <w:bCs w:val="0"/>
          <w:sz w:val="44"/>
          <w:szCs w:val="44"/>
          <w:highlight w:val="none"/>
          <w:lang w:eastAsia="zh-CN"/>
        </w:rPr>
        <w:t>抽检</w:t>
      </w:r>
      <w:r>
        <w:rPr>
          <w:rFonts w:hint="eastAsia" w:ascii="方正小标宋_GBK" w:hAnsi="方正小标宋_GBK" w:eastAsia="方正小标宋_GBK" w:cs="方正小标宋_GBK"/>
          <w:b w:val="0"/>
          <w:bCs w:val="0"/>
          <w:sz w:val="44"/>
          <w:szCs w:val="44"/>
          <w:highlight w:val="none"/>
          <w:lang w:val="en-US" w:eastAsia="zh-CN"/>
        </w:rPr>
        <w:t>不合格</w:t>
      </w:r>
      <w:r>
        <w:rPr>
          <w:rFonts w:hint="eastAsia" w:ascii="方正小标宋_GBK" w:hAnsi="方正小标宋_GBK" w:eastAsia="方正小标宋_GBK" w:cs="方正小标宋_GBK"/>
          <w:b w:val="0"/>
          <w:bCs w:val="0"/>
          <w:sz w:val="44"/>
          <w:szCs w:val="44"/>
          <w:highlight w:val="none"/>
          <w:lang w:eastAsia="zh-CN"/>
        </w:rPr>
        <w:t>项目</w:t>
      </w:r>
      <w:r>
        <w:rPr>
          <w:rFonts w:hint="eastAsia" w:ascii="方正小标宋_GBK" w:hAnsi="方正小标宋_GBK" w:eastAsia="方正小标宋_GBK" w:cs="方正小标宋_GBK"/>
          <w:b w:val="0"/>
          <w:bCs w:val="0"/>
          <w:sz w:val="44"/>
          <w:szCs w:val="44"/>
          <w:highlight w:val="none"/>
        </w:rPr>
        <w:t>的</w:t>
      </w:r>
      <w:r>
        <w:rPr>
          <w:rFonts w:hint="eastAsia" w:ascii="方正小标宋_GBK" w:hAnsi="方正小标宋_GBK" w:eastAsia="方正小标宋_GBK" w:cs="方正小标宋_GBK"/>
          <w:b w:val="0"/>
          <w:bCs w:val="0"/>
          <w:sz w:val="44"/>
          <w:szCs w:val="44"/>
          <w:highlight w:val="none"/>
          <w:lang w:val="en-US" w:eastAsia="zh-CN"/>
        </w:rPr>
        <w:t>解读</w:t>
      </w:r>
      <w:r>
        <w:rPr>
          <w:rFonts w:hint="eastAsia" w:ascii="宋体" w:hAnsi="宋体" w:eastAsia="宋体" w:cs="宋体"/>
          <w:b/>
          <w:bCs/>
          <w:i w:val="0"/>
          <w:iCs w:val="0"/>
          <w:color w:val="000000"/>
          <w:kern w:val="0"/>
          <w:sz w:val="32"/>
          <w:szCs w:val="32"/>
          <w:u w:val="none"/>
          <w:lang w:val="en-US" w:eastAsia="zh-CN" w:bidi="ar"/>
        </w:rPr>
        <w:t xml:space="preserve"> </w:t>
      </w:r>
    </w:p>
    <w:p>
      <w:pPr>
        <w:jc w:val="center"/>
        <w:rPr>
          <w:rFonts w:hint="default" w:ascii="宋体" w:hAnsi="宋体" w:eastAsia="宋体" w:cs="宋体"/>
          <w:b/>
          <w:bCs/>
          <w:i w:val="0"/>
          <w:iCs w:val="0"/>
          <w:color w:val="000000"/>
          <w:kern w:val="0"/>
          <w:sz w:val="24"/>
          <w:szCs w:val="24"/>
          <w:u w:val="none"/>
          <w:vertAlign w:val="baseline"/>
          <w:lang w:val="en-US" w:eastAsia="zh-CN" w:bidi="ar"/>
        </w:rPr>
      </w:pPr>
      <w:r>
        <w:rPr>
          <w:rFonts w:hint="eastAsia" w:ascii="宋体" w:hAnsi="宋体" w:eastAsia="宋体" w:cs="宋体"/>
          <w:b/>
          <w:bCs/>
          <w:i w:val="0"/>
          <w:iCs w:val="0"/>
          <w:color w:val="000000"/>
          <w:kern w:val="0"/>
          <w:sz w:val="28"/>
          <w:szCs w:val="28"/>
          <w:u w:val="none"/>
          <w:lang w:val="en-US" w:eastAsia="zh-CN" w:bidi="ar"/>
        </w:rPr>
        <w:t>不合格样品信息汇总表</w:t>
      </w:r>
    </w:p>
    <w:tbl>
      <w:tblPr>
        <w:tblStyle w:val="6"/>
        <w:tblW w:w="9870" w:type="dxa"/>
        <w:tblInd w:w="-5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076"/>
        <w:gridCol w:w="1786"/>
        <w:gridCol w:w="2118"/>
        <w:gridCol w:w="2000"/>
        <w:gridCol w:w="1173"/>
        <w:gridCol w:w="1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660"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序号</w:t>
            </w:r>
          </w:p>
        </w:tc>
        <w:tc>
          <w:tcPr>
            <w:tcW w:w="1076"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样品名称</w:t>
            </w:r>
          </w:p>
        </w:tc>
        <w:tc>
          <w:tcPr>
            <w:tcW w:w="1786"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被抽样单位名称</w:t>
            </w:r>
          </w:p>
        </w:tc>
        <w:tc>
          <w:tcPr>
            <w:tcW w:w="2118"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被抽样单位地址</w:t>
            </w:r>
          </w:p>
        </w:tc>
        <w:tc>
          <w:tcPr>
            <w:tcW w:w="2000"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检验项目</w:t>
            </w:r>
          </w:p>
        </w:tc>
        <w:tc>
          <w:tcPr>
            <w:tcW w:w="1173"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检测结果</w:t>
            </w:r>
          </w:p>
        </w:tc>
        <w:tc>
          <w:tcPr>
            <w:tcW w:w="1057"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1</w:t>
            </w:r>
          </w:p>
        </w:tc>
        <w:tc>
          <w:tcPr>
            <w:tcW w:w="1076"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牛肉丸</w:t>
            </w:r>
          </w:p>
        </w:tc>
        <w:tc>
          <w:tcPr>
            <w:tcW w:w="1786"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惠州大亚湾隆江蔡德肉丸档</w:t>
            </w:r>
          </w:p>
        </w:tc>
        <w:tc>
          <w:tcPr>
            <w:tcW w:w="2118"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惠州大亚湾西区东联市场</w:t>
            </w:r>
          </w:p>
        </w:tc>
        <w:tc>
          <w:tcPr>
            <w:tcW w:w="2000"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山梨酸及其钾盐(以山梨酸计)</w:t>
            </w:r>
          </w:p>
        </w:tc>
        <w:tc>
          <w:tcPr>
            <w:tcW w:w="1173"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0.398g/kg</w:t>
            </w:r>
          </w:p>
        </w:tc>
        <w:tc>
          <w:tcPr>
            <w:tcW w:w="1057" w:type="dxa"/>
            <w:shd w:val="clear" w:color="auto" w:fill="auto"/>
            <w:vAlign w:val="center"/>
          </w:tcPr>
          <w:p>
            <w:pPr>
              <w:jc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不得使用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2</w:t>
            </w:r>
          </w:p>
        </w:tc>
        <w:tc>
          <w:tcPr>
            <w:tcW w:w="1076"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幸乐牛肉丸</w:t>
            </w:r>
          </w:p>
        </w:tc>
        <w:tc>
          <w:tcPr>
            <w:tcW w:w="1786"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惠州大亚湾鲜味源汕头牛肉丸店</w:t>
            </w:r>
          </w:p>
        </w:tc>
        <w:tc>
          <w:tcPr>
            <w:tcW w:w="2118"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惠州大亚湾西区东联市场019号铺</w:t>
            </w:r>
          </w:p>
        </w:tc>
        <w:tc>
          <w:tcPr>
            <w:tcW w:w="2000"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山梨酸及其钾盐(以山梨酸计)</w:t>
            </w:r>
          </w:p>
        </w:tc>
        <w:tc>
          <w:tcPr>
            <w:tcW w:w="1173"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0.316g/kg</w:t>
            </w:r>
          </w:p>
        </w:tc>
        <w:tc>
          <w:tcPr>
            <w:tcW w:w="1057" w:type="dxa"/>
            <w:shd w:val="clear" w:color="auto" w:fill="auto"/>
            <w:vAlign w:val="center"/>
          </w:tcPr>
          <w:p>
            <w:pPr>
              <w:jc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不得使用</w:t>
            </w:r>
          </w:p>
        </w:tc>
      </w:tr>
    </w:tbl>
    <w:p>
      <w:pPr>
        <w:keepNext w:val="0"/>
        <w:keepLines w:val="0"/>
        <w:pageBreakBefore w:val="0"/>
        <w:widowControl/>
        <w:numPr>
          <w:numId w:val="0"/>
        </w:numPr>
        <w:suppressLineNumbers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sz w:val="32"/>
          <w:szCs w:val="32"/>
          <w:lang w:val="en-US" w:eastAsia="zh-CN"/>
        </w:rPr>
      </w:pPr>
    </w:p>
    <w:p>
      <w:pPr>
        <w:keepNext w:val="0"/>
        <w:keepLines w:val="0"/>
        <w:pageBreakBefore w:val="0"/>
        <w:widowControl/>
        <w:numPr>
          <w:numId w:val="0"/>
        </w:numPr>
        <w:suppressLineNumbers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w:t>
      </w:r>
      <w:bookmarkStart w:id="0" w:name="_GoBack"/>
      <w:bookmarkEnd w:id="0"/>
      <w:r>
        <w:rPr>
          <w:rFonts w:hint="eastAsia" w:ascii="黑体" w:hAnsi="黑体" w:eastAsia="黑体" w:cs="黑体"/>
          <w:b w:val="0"/>
          <w:bCs w:val="0"/>
          <w:sz w:val="32"/>
          <w:szCs w:val="32"/>
          <w:lang w:val="en-US" w:eastAsia="zh-CN"/>
        </w:rPr>
        <w:t>山梨酸及其钾盐(以山梨酸计)</w:t>
      </w:r>
    </w:p>
    <w:p>
      <w:pPr>
        <w:ind w:firstLine="640" w:firstLineChars="200"/>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山梨酸及其钾盐(以山梨酸计)是食品防腐剂，具有广泛的抑菌效果和防霉性能。山梨酸可以被人体的代谢系统吸收而迅速分解为二氧化碳和水，在体内无残留。造成山梨酸及其钾盐（以山梨酸计）不合格的原因，可能是企业为延长产品保质期或者为弥补产品生产中卫生条件不佳超量使用而导致。</w:t>
      </w:r>
    </w:p>
    <w:p>
      <w:pPr>
        <w:ind w:firstLine="480" w:firstLineChars="200"/>
        <w:rPr>
          <w:rFonts w:hint="default" w:ascii="宋体" w:hAnsi="宋体" w:eastAsia="宋体" w:cs="宋体"/>
          <w:color w:val="000000" w:themeColor="text1"/>
          <w:kern w:val="0"/>
          <w:sz w:val="24"/>
          <w:szCs w:val="24"/>
          <w:lang w:val="en-US" w:eastAsia="zh-CN" w:bidi="ar"/>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iNjBiMTBhZTcxOTRiYjRkNTkzNDFhODI3NDE5Y2EifQ=="/>
  </w:docVars>
  <w:rsids>
    <w:rsidRoot w:val="352A30F2"/>
    <w:rsid w:val="112F0244"/>
    <w:rsid w:val="16310FCE"/>
    <w:rsid w:val="22063427"/>
    <w:rsid w:val="2E382239"/>
    <w:rsid w:val="2E676D41"/>
    <w:rsid w:val="2FBC3540"/>
    <w:rsid w:val="352A30F2"/>
    <w:rsid w:val="60570728"/>
    <w:rsid w:val="67B4483D"/>
    <w:rsid w:val="67B712F9"/>
    <w:rsid w:val="68572E04"/>
    <w:rsid w:val="74B05A02"/>
    <w:rsid w:val="777E44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rPr>
      <w:rFonts w:hAnsi="Calibri"/>
      <w:kern w:val="0"/>
      <w:szCs w:val="20"/>
    </w:rPr>
  </w:style>
  <w:style w:type="paragraph" w:styleId="3">
    <w:name w:val="Plain Text"/>
    <w:basedOn w:val="1"/>
    <w:qFormat/>
    <w:uiPriority w:val="0"/>
    <w:rPr>
      <w:rFonts w:ascii="宋体" w:hAnsi="Courier New" w:cs="宋体"/>
      <w:sz w:val="21"/>
      <w:szCs w:val="21"/>
    </w:rPr>
  </w:style>
  <w:style w:type="paragraph" w:styleId="4">
    <w:name w:val="Body Text First Indent 2"/>
    <w:basedOn w:val="2"/>
    <w:next w:val="1"/>
    <w:qFormat/>
    <w:uiPriority w:val="0"/>
    <w:pPr>
      <w:ind w:firstLine="420" w:firstLineChars="200"/>
    </w:p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475</Words>
  <Characters>503</Characters>
  <Lines>0</Lines>
  <Paragraphs>0</Paragraphs>
  <TotalTime>9</TotalTime>
  <ScaleCrop>false</ScaleCrop>
  <LinksUpToDate>false</LinksUpToDate>
  <CharactersWithSpaces>507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2024-06-21T00:53:00Z</dcterms:created>
  <dc:creator>邓小羊</dc:creator>
  <cp:lastModifiedBy>Administrator</cp:lastModifiedBy>
  <dcterms:modified xsi:type="dcterms:W3CDTF">2024-12-20T01:00:51Z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43AAB715187449FFAD88F4107410C6EE_13</vt:lpwstr>
  </property>
</Properties>
</file>