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5</w:t>
      </w:r>
      <w:r>
        <w:rPr>
          <w:rFonts w:hint="eastAsia" w:ascii="方正小标宋简体" w:hAnsi="方正小标宋简体" w:eastAsia="方正小标宋简体" w:cs="方正小标宋简体"/>
          <w:sz w:val="44"/>
          <w:szCs w:val="44"/>
          <w:highlight w:val="none"/>
        </w:rPr>
        <w:t>年</w:t>
      </w:r>
      <w:r>
        <w:rPr>
          <w:rFonts w:hint="eastAsia" w:ascii="方正小标宋简体" w:hAnsi="方正小标宋简体" w:eastAsia="方正小标宋简体" w:cs="方正小标宋简体"/>
          <w:sz w:val="44"/>
          <w:szCs w:val="44"/>
          <w:highlight w:val="none"/>
          <w:lang w:eastAsia="zh-CN"/>
        </w:rPr>
        <w:t>大亚湾区</w:t>
      </w:r>
      <w:r>
        <w:rPr>
          <w:rFonts w:hint="eastAsia" w:ascii="方正小标宋简体" w:hAnsi="方正小标宋简体" w:eastAsia="方正小标宋简体" w:cs="方正小标宋简体"/>
          <w:sz w:val="44"/>
          <w:szCs w:val="44"/>
          <w:highlight w:val="none"/>
        </w:rPr>
        <w:t>工矿贸</w:t>
      </w:r>
      <w:r>
        <w:rPr>
          <w:rFonts w:hint="eastAsia" w:ascii="方正小标宋简体" w:hAnsi="方正小标宋简体" w:eastAsia="方正小标宋简体" w:cs="方正小标宋简体"/>
          <w:sz w:val="44"/>
          <w:szCs w:val="44"/>
          <w:highlight w:val="none"/>
          <w:lang w:eastAsia="zh-CN"/>
        </w:rPr>
        <w:t>企业安全生产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eastAsia="zh-CN"/>
        </w:rPr>
        <w:t>教育培训</w:t>
      </w:r>
      <w:r>
        <w:rPr>
          <w:rFonts w:hint="eastAsia" w:ascii="方正小标宋简体" w:hAnsi="方正小标宋简体" w:eastAsia="方正小标宋简体" w:cs="方正小标宋简体"/>
          <w:sz w:val="44"/>
          <w:szCs w:val="44"/>
          <w:highlight w:val="none"/>
        </w:rPr>
        <w:t>项目方案</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一、项目依据和目的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根据《国务院安全生产委员会关于印发〈“十四五”国家安全生产规划〉的通知》（安委〔2022〕7号）及《中共惠州大亚湾经济技术开发区工作委员会 惠州大亚湾经济技术开发区管理委员会关于印发〈惠州大亚湾经济技术开发区各有关单位安全生产工作职责〉的通知》（惠湾工委〔202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lang w:eastAsia="zh-CN"/>
        </w:rPr>
        <w:t>号）有关职责和要求，为全面提升大亚湾区工矿贸企业主动安全意识，确保生产经营单位的主要负责人和安全生产管理人员必须具备与本单位所从事的生产经营活动相应的安全生产知识和管理能力，增加和提高一线作业岗位人员安全常识及应急处置能力，我局计划借助第三方专业教育培训机构力量，对我区工矿贸企业开展安全生产教育培训工作，为大亚湾区安全生产形势持续稳定提供强有力的安全人才保障。</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培训对象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大亚湾辖区内工矿贸企业、工业园区主要负责人、安全管理人员及一线作业岗位人员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项目时间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从签订合同日期至</w:t>
      </w:r>
      <w:r>
        <w:rPr>
          <w:rFonts w:hint="eastAsia" w:ascii="仿宋_GB2312" w:hAnsi="仿宋_GB2312" w:eastAsia="仿宋_GB2312" w:cs="仿宋_GB2312"/>
          <w:sz w:val="32"/>
          <w:szCs w:val="32"/>
          <w:highlight w:val="none"/>
          <w:lang w:val="en-US" w:eastAsia="zh-CN"/>
        </w:rPr>
        <w:t>2025年12月31日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培训内容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主要负责人及安全管理人员专项</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理论部分：</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担任主要负责人人员资格条件，《中华人民共和国安全生产法》《广东省安全生产条例》中工贸企业主要负责人、分管安全负责人及安全管理人员的职责及具体如何履职。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《中华人民共和国刑法修正案》中有关安全生产条款。</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剖析近年来工贸行业特大生产安全事故原因及事故处理结果，解读主要负责人、安全管理人员因生产安全事故（工贸类）受到行政处罚或刑事处理等案例，灵活引用《安全生产严重失信主体名单管理办法》（应急管理部令第11号）。</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讲解标准化建设方法及标杆企业优秀经验做法分享。</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宣贯《大亚湾开发区工贸安全生产治本攻坚三年行动方案 (2024—2026 年)》有关主要负责人部分。</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安责险功能作用。</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常见隐患问题及规范整改：根据参训企业提交隐患问题及整改情况内容，举例并补充说明常见隐患排查及规范整改方法。</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考核部分：情景模拟进行隐患排查笔试、口试考核。</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工业园规范化（分租式厂房）专项</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理论部分：</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哪些人可以做主要负责人，企业组织架构及各自职责，如何履职。</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近年来有关分租式厂房生产安全事故警示教育。</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分租式厂房消防安全、二次验收及三同时建设等要求。</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工业园规范化建设要求及具体落实表现，灵活引用《生产经营单位生产安全事故应急预案编制导则》（GB/T 29639-2020）。</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近期国家、省、市、区关于工业园、村级工业园、分租式厂房安全生产、消防安全、项目引进等工作要求，节选《大亚湾开发区工业园区和厂房管理指引（试行）》有关企业部分宣讲。</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40" w:firstLineChars="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常见隐患问题及规范整改：根据参训企业提交隐患问题及整改情况内容，举例并补充说明常见隐患及规范整改方法。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3.考核部分：情景模拟进行隐患排查笔试、口试考核。</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消防安全专项</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培训对象：企业一线从业人员、专兼职消防队队员</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理论部分：</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讲解根据燃烧对象的性质火灾分为六种类型，不同类型火灾对应的灭火器种类，讲解《建筑灭火器配置设计规范》（GB50140-2005）、《建筑防火通用规范》（GB 50016-2014）等规范中关于灭火器数量、位置、设置要求的条款，讲解不同类型灭火器（手提式干粉灭火器、推车式干粉灭火器、泡沫灭火器、二氧化碳灭火器）的使用方法，强调使用距离、使用要领和风向。</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讲解火灾三要素、火灾逃生及扑灭初期火灾方式方法。</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常见不能作为装修装饰的可燃、易燃材料，符合现行国标的常见车间厂房装修装饰材料。</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讲解消防安全检查重点、日常消防点检重点，消防通道转弯半径要求，高层、超高层厂房消防安全管理要点。</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结合事故案例，强调电动自行车不规范停放、充电，私拉电线、堵塞消防通道等违规行为带来的消防隐患。</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实操考核：灭火器使用熟练程度、分组消火栓使用操作实操。‌</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重大事故隐患与双重预防机制专项</w:t>
      </w:r>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培训对象：企业中层领导、专兼职安全管理人员、班组长</w:t>
      </w:r>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理论部分：</w:t>
      </w:r>
    </w:p>
    <w:p>
      <w:pPr>
        <w:keepNext w:val="0"/>
        <w:keepLines w:val="0"/>
        <w:pageBreakBefore w:val="0"/>
        <w:widowControl w:val="0"/>
        <w:numPr>
          <w:ilvl w:val="0"/>
          <w:numId w:val="1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《工贸企业重大事故隐患判定标准》中机械、轻工及粉尘爆炸等部分内容，以图详细讲解判定情形与除外情形。以下表格内条款为无需讲解内容。</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5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highlight w:val="none"/>
                <w:vertAlign w:val="baseline"/>
                <w:lang w:eastAsia="zh-CN"/>
              </w:rPr>
            </w:pPr>
            <w:r>
              <w:rPr>
                <w:rFonts w:hint="eastAsia" w:ascii="仿宋_GB2312" w:hAnsi="仿宋_GB2312" w:eastAsia="仿宋_GB2312" w:cs="仿宋_GB2312"/>
                <w:b/>
                <w:bCs/>
                <w:sz w:val="32"/>
                <w:szCs w:val="32"/>
                <w:highlight w:val="none"/>
                <w:vertAlign w:val="baseline"/>
                <w:lang w:eastAsia="zh-CN"/>
              </w:rPr>
              <w:t>序号</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highlight w:val="none"/>
                <w:vertAlign w:val="baseline"/>
                <w:lang w:eastAsia="zh-CN"/>
              </w:rPr>
            </w:pPr>
            <w:r>
              <w:rPr>
                <w:rFonts w:hint="eastAsia" w:ascii="仿宋_GB2312" w:hAnsi="仿宋_GB2312" w:eastAsia="仿宋_GB2312" w:cs="仿宋_GB2312"/>
                <w:b/>
                <w:bCs/>
                <w:sz w:val="32"/>
                <w:szCs w:val="32"/>
                <w:highlight w:val="none"/>
                <w:vertAlign w:val="baseline"/>
                <w:lang w:eastAsia="zh-CN"/>
              </w:rPr>
              <w:t>无需讲解条款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1</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vertAlign w:val="baseline"/>
                <w:lang w:eastAsia="zh-CN"/>
              </w:rPr>
            </w:pPr>
            <w:r>
              <w:rPr>
                <w:rFonts w:hint="eastAsia" w:ascii="仿宋_GB2312" w:hAnsi="仿宋_GB2312" w:eastAsia="仿宋_GB2312" w:cs="仿宋_GB2312"/>
                <w:sz w:val="32"/>
                <w:szCs w:val="32"/>
                <w:highlight w:val="none"/>
                <w:vertAlign w:val="baseline"/>
                <w:lang w:eastAsia="zh-CN"/>
              </w:rPr>
              <w:t>第三条（三）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2</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vertAlign w:val="baseline"/>
                <w:lang w:eastAsia="zh-CN"/>
              </w:rPr>
            </w:pPr>
            <w:r>
              <w:rPr>
                <w:rFonts w:hint="eastAsia" w:ascii="仿宋_GB2312" w:hAnsi="仿宋_GB2312" w:eastAsia="仿宋_GB2312" w:cs="仿宋_GB2312"/>
                <w:sz w:val="32"/>
                <w:szCs w:val="32"/>
                <w:highlight w:val="none"/>
                <w:vertAlign w:val="baseline"/>
                <w:lang w:eastAsia="zh-CN"/>
              </w:rPr>
              <w:t>第四条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3</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vertAlign w:val="baseline"/>
                <w:lang w:eastAsia="zh-CN"/>
              </w:rPr>
            </w:pPr>
            <w:r>
              <w:rPr>
                <w:rFonts w:hint="eastAsia" w:ascii="仿宋_GB2312" w:hAnsi="仿宋_GB2312" w:eastAsia="仿宋_GB2312" w:cs="仿宋_GB2312"/>
                <w:sz w:val="32"/>
                <w:szCs w:val="32"/>
                <w:highlight w:val="none"/>
                <w:vertAlign w:val="baseline"/>
                <w:lang w:eastAsia="zh-CN"/>
              </w:rPr>
              <w:t>第五条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4</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vertAlign w:val="baseline"/>
                <w:lang w:eastAsia="zh-CN"/>
              </w:rPr>
            </w:pPr>
            <w:r>
              <w:rPr>
                <w:rFonts w:hint="eastAsia" w:ascii="仿宋_GB2312" w:hAnsi="仿宋_GB2312" w:eastAsia="仿宋_GB2312" w:cs="仿宋_GB2312"/>
                <w:sz w:val="32"/>
                <w:szCs w:val="32"/>
                <w:highlight w:val="none"/>
                <w:vertAlign w:val="baseline"/>
                <w:lang w:eastAsia="zh-CN"/>
              </w:rPr>
              <w:t>第六条（一）（八）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5</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vertAlign w:val="baseline"/>
                <w:lang w:eastAsia="zh-CN"/>
              </w:rPr>
            </w:pPr>
            <w:r>
              <w:rPr>
                <w:rFonts w:hint="eastAsia" w:ascii="仿宋_GB2312" w:hAnsi="仿宋_GB2312" w:eastAsia="仿宋_GB2312" w:cs="仿宋_GB2312"/>
                <w:sz w:val="32"/>
                <w:szCs w:val="32"/>
                <w:highlight w:val="none"/>
                <w:vertAlign w:val="baseline"/>
                <w:lang w:eastAsia="zh-CN"/>
              </w:rPr>
              <w:t>第八条（一）（二）（三）（四）（五）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6</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vertAlign w:val="baseline"/>
                <w:lang w:eastAsia="zh-CN"/>
              </w:rPr>
            </w:pPr>
            <w:r>
              <w:rPr>
                <w:rFonts w:hint="eastAsia" w:ascii="仿宋_GB2312" w:hAnsi="仿宋_GB2312" w:eastAsia="仿宋_GB2312" w:cs="仿宋_GB2312"/>
                <w:sz w:val="32"/>
                <w:szCs w:val="32"/>
                <w:highlight w:val="none"/>
                <w:vertAlign w:val="baseline"/>
                <w:lang w:eastAsia="zh-CN"/>
              </w:rPr>
              <w:t>第九条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7</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vertAlign w:val="baseline"/>
                <w:lang w:eastAsia="zh-CN"/>
              </w:rPr>
            </w:pPr>
            <w:r>
              <w:rPr>
                <w:rFonts w:hint="eastAsia" w:ascii="仿宋_GB2312" w:hAnsi="仿宋_GB2312" w:eastAsia="仿宋_GB2312" w:cs="仿宋_GB2312"/>
                <w:sz w:val="32"/>
                <w:szCs w:val="32"/>
                <w:highlight w:val="none"/>
                <w:vertAlign w:val="baseline"/>
                <w:lang w:eastAsia="zh-CN"/>
              </w:rPr>
              <w:t>第十条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8</w:t>
            </w:r>
          </w:p>
        </w:tc>
        <w:tc>
          <w:tcPr>
            <w:tcW w:w="0" w:type="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vertAlign w:val="baseline"/>
                <w:lang w:eastAsia="zh-CN"/>
              </w:rPr>
            </w:pPr>
            <w:r>
              <w:rPr>
                <w:rFonts w:hint="eastAsia" w:ascii="仿宋_GB2312" w:hAnsi="仿宋_GB2312" w:eastAsia="仿宋_GB2312" w:cs="仿宋_GB2312"/>
                <w:sz w:val="32"/>
                <w:szCs w:val="32"/>
                <w:highlight w:val="none"/>
                <w:vertAlign w:val="baseline"/>
                <w:lang w:eastAsia="zh-CN"/>
              </w:rPr>
              <w:t>第十二条</w:t>
            </w:r>
          </w:p>
        </w:tc>
      </w:tr>
    </w:tbl>
    <w:p>
      <w:pPr>
        <w:keepNext w:val="0"/>
        <w:keepLines w:val="0"/>
        <w:pageBreakBefore w:val="0"/>
        <w:widowControl w:val="0"/>
        <w:numPr>
          <w:ilvl w:val="0"/>
          <w:numId w:val="1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双重预防机制部分：主要讲解双重预防机制的建立与应用，风险管控与隐患排查有机联系的方法，依据重大事故隐患判定标准应用双重预防机制开展重大事故隐患精准排查的方法。</w:t>
      </w:r>
    </w:p>
    <w:p>
      <w:pPr>
        <w:keepNext w:val="0"/>
        <w:keepLines w:val="0"/>
        <w:pageBreakBefore w:val="0"/>
        <w:widowControl w:val="0"/>
        <w:numPr>
          <w:ilvl w:val="0"/>
          <w:numId w:val="1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及时上报一般隐患排查、重大事故隐患自查自纠情况。</w:t>
      </w:r>
    </w:p>
    <w:p>
      <w:pPr>
        <w:keepNext w:val="0"/>
        <w:keepLines w:val="0"/>
        <w:pageBreakBefore w:val="0"/>
        <w:widowControl w:val="0"/>
        <w:numPr>
          <w:ilvl w:val="0"/>
          <w:numId w:val="1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宣贯《关于推动建立完善生产经营单位事故隐患内部报告奖励机制的意见》（安委〔2024〕7号）</w:t>
      </w:r>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笔试考核：现场绘制本企业三个不同类型场所风险分级分类辨识管控与隐患排查表、口试考核。</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危险作业专项</w:t>
      </w: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培训对象：线上课程面向危险作业审核、审批、监护及实际作业人员。</w:t>
      </w: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主要讲解20类伤害，介绍动火、有限空间、临时用电、高处作业四类工贸企业较频繁作业流程、审批、风险辨识管控及应急处置措施等内容。</w:t>
      </w: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近年来由于危险作业未落实安全措施导致重特大生产安全事故发生的事故案例剖析。</w:t>
      </w: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讲解“大亚湾危险作业登记培训”微信小程序使用指南。</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危险作业（焊工）专场</w:t>
      </w:r>
    </w:p>
    <w:p>
      <w:pPr>
        <w:keepNext w:val="0"/>
        <w:keepLines w:val="0"/>
        <w:pageBreakBefore w:val="0"/>
        <w:widowControl w:val="0"/>
        <w:numPr>
          <w:ilvl w:val="0"/>
          <w:numId w:val="1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培训对象：已取得特种作业人员操作证执业的电（气）焊、热切割工人。</w:t>
      </w:r>
    </w:p>
    <w:p>
      <w:pPr>
        <w:keepNext w:val="0"/>
        <w:keepLines w:val="0"/>
        <w:pageBreakBefore w:val="0"/>
        <w:widowControl w:val="0"/>
        <w:numPr>
          <w:ilvl w:val="0"/>
          <w:numId w:val="1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培训内容：根据《熔化焊接与热切割作业人员安全技术培训大纲和考核标准》，详细讲解动火作业操作规范和安全要求等。</w:t>
      </w:r>
    </w:p>
    <w:p>
      <w:pPr>
        <w:keepNext w:val="0"/>
        <w:keepLines w:val="0"/>
        <w:pageBreakBefore w:val="0"/>
        <w:widowControl w:val="0"/>
        <w:numPr>
          <w:ilvl w:val="0"/>
          <w:numId w:val="1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考核方式：笔试</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有限空间专项</w:t>
      </w: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培训对象：有限空间一线作业人员、监护人员</w:t>
      </w: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理论部分：</w:t>
      </w:r>
    </w:p>
    <w:p>
      <w:pPr>
        <w:keepNext w:val="0"/>
        <w:keepLines w:val="0"/>
        <w:pageBreakBefore w:val="0"/>
        <w:widowControl w:val="0"/>
        <w:numPr>
          <w:ilvl w:val="0"/>
          <w:numId w:val="1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有限空间常见风险辨识、管控及事故应急处置措施，详细讲解如何使用有毒有害气体检测仪、正压式空气呼吸器、长管式空气呼吸器等应急装备（每类装备至少配置两套现场教学使用）。</w:t>
      </w:r>
    </w:p>
    <w:p>
      <w:pPr>
        <w:keepNext w:val="0"/>
        <w:keepLines w:val="0"/>
        <w:pageBreakBefore w:val="0"/>
        <w:widowControl w:val="0"/>
        <w:numPr>
          <w:ilvl w:val="0"/>
          <w:numId w:val="1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宣贯、解读《工贸企业有限空间作业安全规定》，特别是修订、新增部分。</w:t>
      </w:r>
    </w:p>
    <w:p>
      <w:pPr>
        <w:keepNext w:val="0"/>
        <w:keepLines w:val="0"/>
        <w:pageBreakBefore w:val="0"/>
        <w:widowControl w:val="0"/>
        <w:numPr>
          <w:ilvl w:val="0"/>
          <w:numId w:val="1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引用《工贸企业重大事故隐患判定标准》中有关有限空间部分内容讲解常见隐患类型及排除方式。</w:t>
      </w:r>
    </w:p>
    <w:p>
      <w:pPr>
        <w:keepNext w:val="0"/>
        <w:keepLines w:val="0"/>
        <w:pageBreakBefore w:val="0"/>
        <w:widowControl w:val="0"/>
        <w:numPr>
          <w:ilvl w:val="0"/>
          <w:numId w:val="1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近年来不同类型有限空间事故分析（尤其是盲目施救）、有限空间作业要求，作业票规范填写、审批及存档要求等。</w:t>
      </w: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实操考核：口试、企业实地进行五点式安全带、正压式空气呼吸器、防毒面罩及气体探测仪使用穿戴实操考核。</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粉尘涉爆专项</w:t>
      </w:r>
    </w:p>
    <w:p>
      <w:pPr>
        <w:keepNext w:val="0"/>
        <w:keepLines w:val="0"/>
        <w:pageBreakBefore w:val="0"/>
        <w:widowControl w:val="0"/>
        <w:numPr>
          <w:ilvl w:val="0"/>
          <w:numId w:val="1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培训对象：涉粉作业一线从业人员</w:t>
      </w:r>
    </w:p>
    <w:p>
      <w:pPr>
        <w:keepNext w:val="0"/>
        <w:keepLines w:val="0"/>
        <w:pageBreakBefore w:val="0"/>
        <w:widowControl w:val="0"/>
        <w:numPr>
          <w:ilvl w:val="0"/>
          <w:numId w:val="1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理论部分：</w:t>
      </w:r>
    </w:p>
    <w:p>
      <w:pPr>
        <w:keepNext w:val="0"/>
        <w:keepLines w:val="0"/>
        <w:pageBreakBefore w:val="0"/>
        <w:widowControl w:val="0"/>
        <w:numPr>
          <w:ilvl w:val="0"/>
          <w:numId w:val="1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介绍常见涉爆粉尘种类、从全员安全生产责任制、操作规程、粉尘清扫、管理制度、应急预案及演练等方面讲解粉尘涉爆有关实施内容。</w:t>
      </w:r>
    </w:p>
    <w:p>
      <w:pPr>
        <w:keepNext w:val="0"/>
        <w:keepLines w:val="0"/>
        <w:pageBreakBefore w:val="0"/>
        <w:widowControl w:val="0"/>
        <w:numPr>
          <w:ilvl w:val="0"/>
          <w:numId w:val="1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用图讲解粉尘除尘、收集装置中火花探测器、锁气卸灰及隔爆阀等关键部位设置原理及作用，不同种类涉爆粉尘电气设备选型要点。</w:t>
      </w:r>
    </w:p>
    <w:p>
      <w:pPr>
        <w:keepNext w:val="0"/>
        <w:keepLines w:val="0"/>
        <w:pageBreakBefore w:val="0"/>
        <w:widowControl w:val="0"/>
        <w:numPr>
          <w:ilvl w:val="0"/>
          <w:numId w:val="1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引用《工贸企业重大事故隐患判定标准》中有关粉尘爆炸部分内容讲解常见隐患类型及排除方式。</w:t>
      </w:r>
    </w:p>
    <w:p>
      <w:pPr>
        <w:keepNext w:val="0"/>
        <w:keepLines w:val="0"/>
        <w:pageBreakBefore w:val="0"/>
        <w:widowControl w:val="0"/>
        <w:numPr>
          <w:ilvl w:val="0"/>
          <w:numId w:val="1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粉尘除尘、收集装置安全附件常见故障排除方式。</w:t>
      </w:r>
    </w:p>
    <w:p>
      <w:pPr>
        <w:keepNext w:val="0"/>
        <w:keepLines w:val="0"/>
        <w:pageBreakBefore w:val="0"/>
        <w:widowControl w:val="0"/>
        <w:numPr>
          <w:ilvl w:val="0"/>
          <w:numId w:val="1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近年来不同类型粉尘爆炸事故原因分析及对应管控措施（涉爆粉尘类型仅限木料、金属、橡胶、粮食粉尘）。</w:t>
      </w:r>
    </w:p>
    <w:p>
      <w:pPr>
        <w:keepNext w:val="0"/>
        <w:keepLines w:val="0"/>
        <w:pageBreakBefore w:val="0"/>
        <w:widowControl w:val="0"/>
        <w:numPr>
          <w:ilvl w:val="0"/>
          <w:numId w:val="1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实操考核：情景模拟进行隐患排查笔试、口试考核。</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金属熔融专项</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bidi="ar-SA"/>
        </w:rPr>
        <w:t>金</w:t>
      </w:r>
      <w:r>
        <w:rPr>
          <w:rFonts w:hint="eastAsia" w:ascii="仿宋_GB2312" w:hAnsi="仿宋_GB2312" w:eastAsia="仿宋_GB2312" w:cs="仿宋_GB2312"/>
          <w:sz w:val="32"/>
          <w:szCs w:val="32"/>
          <w:highlight w:val="none"/>
          <w:lang w:val="en-US" w:eastAsia="zh-CN"/>
        </w:rPr>
        <w:t>属熔融工艺中较大风险点危险源及对应管控措施；高温金属熔融设备安全附件及常规连锁装置，检维修注意事项等；近年来有关高温金融熔融工艺亡人事故分析及后果；企业标准化建设具体要求。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锂电池专项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锂电池生产（组装、测试）、储存及运输等过程中存在风险点危险源及对应管控措施，使用回收锂离子电池的危害，穿插讲解有关锂电池的法律法规标准规范内容；近年来有关锂电池亡人事故分析及后果；企业标准化建设具体要求；钠离子电子安全管理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危险化学品、燃气专项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危险化学品部分：重点介绍常用危险化学品（含涉氨使用）危害性、防范和应急处置措施及储存要求（防爆柜、中转仓、周转仓及专用危险化学品仓库），简单举例部分易制毒易制爆化学品，告知购买、使用易制毒易制爆化学品需要到相关部门提出申请备案，危废处置安全等内容；常见危化品火灾扑灭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燃气部分：主要讲解气瓶间、厨房、锅炉房等使用储存燃气、燃油（含环保油、烧火油）安全管理内容，含气瓶、管道和安全附件规范设置、维护保养、气瓶存放数量及气瓶间设置等，展示不同可燃气体报警器样式、场所场景及使用方式；宣贯《城镇燃气管理条例》和国务院安委会2013年发布的《关于深入开展餐饮场所燃气安全专项治理的通知》要求，同一房间内不得同时使用液化石油气和其他明火等安全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非煤矿山专项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宣贯《煤矿重大事故隐患判定标准》《金属非金属矿山重大事故隐患判定标准》《建设项目安全设施“三同时”监督管理办法》《中共中央办公厅 国务院办公厅关于进一步加强矿山安全生产工作的意见》等有关地上非煤矿山法律法规标准规范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2.近年地上非煤矿山生产安全事故分析及对应管控措施。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3.国家、省、市、区有关非煤矿山工作部署及要求。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电气安全专项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介绍常见的电气设备和装置，讲解常见的电气作业及其安全操作规程，电气安全检查的内容和方法，典型事故案例警示教育，分析事故原因并提出防范措施和应急救援方法。</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安全附件专项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主要讲解安全附件的定义、用途、设置规范、维护保养频率，介绍《工贸企业重大事故隐患判定标准》中涉及</w:t>
      </w:r>
      <w:bookmarkStart w:id="0" w:name="_GoBack"/>
      <w:bookmarkEnd w:id="0"/>
      <w:r>
        <w:rPr>
          <w:rFonts w:hint="eastAsia" w:ascii="仿宋_GB2312" w:hAnsi="仿宋_GB2312" w:eastAsia="仿宋_GB2312" w:cs="仿宋_GB2312"/>
          <w:sz w:val="32"/>
          <w:szCs w:val="32"/>
          <w:highlight w:val="none"/>
          <w:lang w:val="en-US" w:eastAsia="zh-CN"/>
        </w:rPr>
        <w:t>安全附件的条款（不讲解部分与重大事故隐患专项无需讲解部分一致）；光伏设备、电储能设施维护点检要点；特种设备（厂（场）内专用车辆、锅炉、行车等起重设备）的日常安全检查要点等。</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环保设施设备专项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1.培训对象：企业负责环保设施设备安全管理的人员。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2.涉及设备类型：废气处理设备（有机废气、酸碱废气、厨房油烟吹设备），重点包括厨房油烟净化设备、喷淋塔、活性炭吸附设备、RTO、RCO、UV光解设备等。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3.培训内容：《蓄热燃烧法工业有机废气治理工程技术规范》《吸附法工业有机废气治理工程技术规范》《催化燃烧法工业有机废气治理工程技术规范》《电子工业废气处理工程设计标准》《涂装作业安全规程 有机废气净化装置安全技术规定》等强制条款以及《废气收集处理设施安装维护消防安全指南》（DB4413/T-2024）等地标有关安全技术方面内容。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“反三违”专项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列举常见“三违”行为，讲解“四不伤害”原则，讲解特种设备（厂（场）内专用车辆、锅炉、行车等起重设备）安全操作规程，等分享近年来由于人的不安全行为导致重特大生产安全事故发生的案例；讲解侥幸心理、麻痹心理及“节后综合征”等名词，使从业人员正视克服不安全行为；企业如何加强员工健康保护建设。</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应急装备使用穿戴及常见意外事故紧急处理专项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演示五点式安全带、防毒面罩及正压式氧气呼吸器等应急防护用品穿戴使用方法，讲解防泄漏工具、封堵设备设施及急救包内药物药品、担架等常见应急装备设施使用方法，现场每种类型设备设施器具配备五套用于参训人员实操考核。</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普法专场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1.宣贯习近平新时代中国特色社会主义思想、习近平法治思想、党的二十大和二十届二中、三中全会精神。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2.宣贯《法治中国建设规划（2020-2025）》《法治政府建设实施纲要（2021-2025年）》《法治社会建设实施纲要（2020-2025年）》。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3.宣贯《中华人民共和国宪法》《中华人民共和国民法典》有关安全生产、应急管理部分，《中华人民共和国安全生产法》《广东省安全生产条例》及其他安全生产、应急管理法律法规。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补训补考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根据前期培训考核情况，安排企业主要负责人、分管安全负责人、安全管理人员及重点岗位从业人员参加线下补考，其他一线从业人员参加线上补考。</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企业实地实操专场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根据企业需求及实际情况，对企业安全管理重点、难点进行讲解，对企业一线从业人员进行操作规程解说和事故警示，有针对性地提升企业主要负责人、安全管理人员能力、水平，提升企业从业人员安全意识和安全知识储备。</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工作要求</w:t>
      </w:r>
    </w:p>
    <w:p>
      <w:pPr>
        <w:keepNext w:val="0"/>
        <w:keepLines w:val="0"/>
        <w:pageBreakBefore w:val="0"/>
        <w:widowControl w:val="0"/>
        <w:numPr>
          <w:ilvl w:val="0"/>
          <w:numId w:val="17"/>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人员资质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第三方教育培训项目组（以下简称项目组）工作人员至少需要</w:t>
      </w:r>
      <w:r>
        <w:rPr>
          <w:rFonts w:hint="eastAsia" w:ascii="仿宋_GB2312" w:hAnsi="仿宋_GB2312" w:eastAsia="仿宋_GB2312" w:cs="仿宋_GB2312"/>
          <w:sz w:val="32"/>
          <w:szCs w:val="32"/>
          <w:highlight w:val="none"/>
          <w:lang w:val="en-US" w:eastAsia="zh-CN"/>
        </w:rPr>
        <w:t>3人，其中项目负责人1人，负责数据导出、情况反馈及工作对接等工作人员两人。</w:t>
      </w:r>
      <w:r>
        <w:rPr>
          <w:rFonts w:hint="eastAsia" w:ascii="仿宋_GB2312" w:hAnsi="仿宋_GB2312" w:eastAsia="仿宋_GB2312" w:cs="仿宋_GB2312"/>
          <w:sz w:val="32"/>
          <w:szCs w:val="32"/>
          <w:highlight w:val="none"/>
          <w:lang w:eastAsia="zh-CN"/>
        </w:rPr>
        <w:t>每场培训至少需要授课老师</w:t>
      </w:r>
      <w:r>
        <w:rPr>
          <w:rFonts w:hint="eastAsia" w:ascii="仿宋_GB2312" w:hAnsi="仿宋_GB2312" w:eastAsia="仿宋_GB2312" w:cs="仿宋_GB2312"/>
          <w:sz w:val="32"/>
          <w:szCs w:val="32"/>
          <w:highlight w:val="none"/>
          <w:lang w:val="en-US" w:eastAsia="zh-CN"/>
        </w:rPr>
        <w:t>1人，负责引导、签到及维持秩序工作人员1-2</w:t>
      </w:r>
      <w:r>
        <w:rPr>
          <w:rFonts w:hint="eastAsia" w:ascii="仿宋_GB2312" w:hAnsi="仿宋_GB2312" w:eastAsia="仿宋_GB2312" w:cs="仿宋_GB2312"/>
          <w:sz w:val="32"/>
          <w:szCs w:val="32"/>
          <w:highlight w:val="none"/>
          <w:lang w:eastAsia="zh-CN"/>
        </w:rPr>
        <w:t>人。授课老师应具有对应行业中级以上职称证书或讲师及以上资质，并有不少于5年培训授课经验。</w:t>
      </w:r>
    </w:p>
    <w:p>
      <w:pPr>
        <w:keepNext w:val="0"/>
        <w:keepLines w:val="0"/>
        <w:pageBreakBefore w:val="0"/>
        <w:widowControl w:val="0"/>
        <w:numPr>
          <w:ilvl w:val="0"/>
          <w:numId w:val="17"/>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授课教案及课件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目组应至少于课程计划开课日期前7天提供对应课程教案、课件及考核资料给区应急管理局进行校对审核，教案应包含引用教材、文献和法律法规标准规范简析，针对参训人员类型制定教学目的、列明教学重难点、做好教学准备、明确教学环节及练习设计等；授课课件内容应通俗易懂，含括要求培训所有内容，文字标点符号应正确无误，所引用法律法规标准规范应现行有效，灵活穿插教学用图片及视频，激活参训人员学习兴趣。</w:t>
      </w:r>
    </w:p>
    <w:p>
      <w:pPr>
        <w:keepNext w:val="0"/>
        <w:keepLines w:val="0"/>
        <w:pageBreakBefore w:val="0"/>
        <w:widowControl w:val="0"/>
        <w:numPr>
          <w:ilvl w:val="0"/>
          <w:numId w:val="17"/>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资源保障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目组应配置项目开展所需的场地、投影设施、话筒及激光笔等设备器具，每节课程师资力量、后勤力量应能保证课程质量与课堂秩序，考核试卷应与课程有关，并与对应参训人员知识水平相匹配，项目组应充分做好各种突发事件应急处置预案，保证课程按计划正常顺利开展。</w:t>
      </w:r>
    </w:p>
    <w:p>
      <w:pPr>
        <w:keepNext w:val="0"/>
        <w:keepLines w:val="0"/>
        <w:pageBreakBefore w:val="0"/>
        <w:widowControl w:val="0"/>
        <w:numPr>
          <w:ilvl w:val="0"/>
          <w:numId w:val="17"/>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线上课程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线上、线下录播课程均应通过具有登记观看人员所属企业、姓名及具体学习时长等功能小程序、APP或网页进行培训观看，并确保网络及信息保密；企业组织集体学习的记录由项目组统一收集汇总登记，并及时反馈至区应急管理局。</w:t>
      </w:r>
    </w:p>
    <w:p>
      <w:pPr>
        <w:keepNext w:val="0"/>
        <w:keepLines w:val="0"/>
        <w:pageBreakBefore w:val="0"/>
        <w:widowControl w:val="0"/>
        <w:numPr>
          <w:ilvl w:val="0"/>
          <w:numId w:val="17"/>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质量保障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目组应对培训质量、课堂秩序、课堂效果及考核通过率负责，及时维护课堂秩序，严禁中途逃课、考核作弊等情况，考试考核未达标人员应组织现场补训、实地考核或线上补考等形式，直至参训人员熟练掌握培训内容，并向参训人员发放盖有本培训机构公章的纸质或电子学时说明。</w:t>
      </w:r>
    </w:p>
    <w:p>
      <w:pPr>
        <w:keepNext w:val="0"/>
        <w:keepLines w:val="0"/>
        <w:pageBreakBefore w:val="0"/>
        <w:widowControl w:val="0"/>
        <w:numPr>
          <w:ilvl w:val="0"/>
          <w:numId w:val="17"/>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报告要求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项目组应将教育培训情况编制成总结报告，总结报告及其附件主要内容为：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1.公司概况及师资情况；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2.项目课程汇总及开展情况；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3.项目实施情况及后勤保障力量；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4.课程签到表、试卷等纸质原件材料，课程课件、课程视频及项目台账扫描件等电子材料。</w:t>
      </w:r>
    </w:p>
    <w:p>
      <w:pPr>
        <w:keepNext w:val="0"/>
        <w:keepLines w:val="0"/>
        <w:pageBreakBefore w:val="0"/>
        <w:widowControl w:val="0"/>
        <w:numPr>
          <w:ilvl w:val="0"/>
          <w:numId w:val="17"/>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加强联系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为保证项目正常、顺利开展，项目组应明确一名项目负责人及一名紧急联系人，如遇老师临时有事或突发事件课程需改期等情况，项目组应及时与区应急管理局对接人沟通，以便做好参训人员临时通知等工作。</w:t>
      </w:r>
    </w:p>
    <w:p>
      <w:pPr>
        <w:keepNext w:val="0"/>
        <w:keepLines w:val="0"/>
        <w:pageBreakBefore w:val="0"/>
        <w:widowControl w:val="0"/>
        <w:numPr>
          <w:ilvl w:val="0"/>
          <w:numId w:val="17"/>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廉洁公正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目组工作人员在服务过程中应廉洁、自律、客观、公正、实事求是开展工作，严禁徇私舞弊，收受服务企业利益，编写、提供虚假材料及报告，不得滥用权利与服务企业私下接触招揽业务，不得泄露培训过程获取参训单位及人员商业机密或个人信息，区应急管理局将不定期对项目组开展情况进行监督管理。</w:t>
      </w:r>
    </w:p>
    <w:p>
      <w:pPr>
        <w:keepNext w:val="0"/>
        <w:keepLines w:val="0"/>
        <w:pageBreakBefore w:val="0"/>
        <w:widowControl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附件：培训场次详情</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kern w:val="2"/>
          <w:sz w:val="32"/>
          <w:szCs w:val="32"/>
          <w:highlight w:val="none"/>
          <w:lang w:val="en-US" w:eastAsia="zh-CN" w:bidi="ar-SA"/>
        </w:rPr>
        <w:sectPr>
          <w:footerReference r:id="rId3" w:type="default"/>
          <w:pgSz w:w="11906" w:h="16838"/>
          <w:pgMar w:top="2098" w:right="1474" w:bottom="1984" w:left="1587"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附件</w:t>
      </w:r>
    </w:p>
    <w:p>
      <w:pPr>
        <w:pStyle w:val="2"/>
        <w:keepNext/>
        <w:keepLines/>
        <w:pageBreakBefore w:val="0"/>
        <w:widowControl w:val="0"/>
        <w:kinsoku/>
        <w:wordWrap/>
        <w:overflowPunct/>
        <w:topLinePunct w:val="0"/>
        <w:autoSpaceDE/>
        <w:autoSpaceDN/>
        <w:bidi w:val="0"/>
        <w:adjustRightInd/>
        <w:snapToGrid/>
        <w:spacing w:before="251" w:beforeLines="80" w:after="251" w:afterLines="80" w:line="560" w:lineRule="exact"/>
        <w:jc w:val="center"/>
        <w:textAlignment w:val="auto"/>
        <w:rPr>
          <w:rFonts w:hint="eastAsia"/>
          <w:highlight w:val="none"/>
          <w:lang w:val="en-US" w:eastAsia="zh-CN"/>
        </w:rPr>
      </w:pPr>
      <w:r>
        <w:rPr>
          <w:rFonts w:hint="eastAsia"/>
          <w:highlight w:val="none"/>
          <w:lang w:val="en-US" w:eastAsia="zh-CN"/>
        </w:rPr>
        <w:t>2025年大亚湾区工矿贸企业安全生产培训计划</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4056"/>
        <w:gridCol w:w="1496"/>
        <w:gridCol w:w="1501"/>
        <w:gridCol w:w="1496"/>
        <w:gridCol w:w="1656"/>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sz w:val="32"/>
                <w:szCs w:val="32"/>
                <w:highlight w:val="none"/>
                <w:vertAlign w:val="baseline"/>
                <w:lang w:val="en-US" w:eastAsia="zh-CN"/>
              </w:rPr>
            </w:pPr>
            <w:r>
              <w:rPr>
                <w:rFonts w:hint="eastAsia" w:ascii="仿宋_GB2312" w:hAnsi="仿宋_GB2312" w:eastAsia="仿宋_GB2312" w:cs="仿宋_GB2312"/>
                <w:b/>
                <w:bCs/>
                <w:i w:val="0"/>
                <w:iCs w:val="0"/>
                <w:color w:val="000000"/>
                <w:kern w:val="0"/>
                <w:sz w:val="32"/>
                <w:szCs w:val="32"/>
                <w:highlight w:val="none"/>
                <w:u w:val="none"/>
                <w:lang w:val="en-US" w:eastAsia="zh-CN" w:bidi="ar"/>
              </w:rPr>
              <w:t>序号</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b/>
                <w:bCs/>
                <w:sz w:val="32"/>
                <w:szCs w:val="32"/>
                <w:highlight w:val="none"/>
                <w:vertAlign w:val="baseline"/>
                <w:lang w:val="en-US" w:eastAsia="zh-CN"/>
              </w:rPr>
            </w:pPr>
            <w:r>
              <w:rPr>
                <w:rFonts w:hint="eastAsia" w:ascii="仿宋_GB2312" w:hAnsi="仿宋_GB2312" w:eastAsia="仿宋_GB2312" w:cs="仿宋_GB2312"/>
                <w:b/>
                <w:bCs/>
                <w:i w:val="0"/>
                <w:iCs w:val="0"/>
                <w:color w:val="000000"/>
                <w:kern w:val="0"/>
                <w:sz w:val="32"/>
                <w:szCs w:val="32"/>
                <w:highlight w:val="none"/>
                <w:u w:val="none"/>
                <w:lang w:val="en-US" w:eastAsia="zh-CN" w:bidi="ar"/>
              </w:rPr>
              <w:t>培训专题</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32"/>
                <w:szCs w:val="32"/>
                <w:highlight w:val="none"/>
                <w:u w:val="none"/>
                <w:lang w:val="en-US" w:eastAsia="zh-CN" w:bidi="ar"/>
              </w:rPr>
            </w:pPr>
            <w:r>
              <w:rPr>
                <w:rFonts w:hint="eastAsia" w:ascii="仿宋_GB2312" w:hAnsi="仿宋_GB2312" w:eastAsia="仿宋_GB2312" w:cs="仿宋_GB2312"/>
                <w:b/>
                <w:bCs/>
                <w:i w:val="0"/>
                <w:iCs w:val="0"/>
                <w:color w:val="000000"/>
                <w:kern w:val="0"/>
                <w:sz w:val="32"/>
                <w:szCs w:val="32"/>
                <w:highlight w:val="none"/>
                <w:u w:val="none"/>
                <w:lang w:val="en-US" w:eastAsia="zh-CN" w:bidi="ar"/>
              </w:rPr>
              <w:t>场次</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32"/>
                <w:szCs w:val="32"/>
                <w:highlight w:val="none"/>
                <w:u w:val="none"/>
                <w:lang w:val="en-US" w:eastAsia="zh-CN" w:bidi="ar"/>
              </w:rPr>
            </w:pPr>
            <w:r>
              <w:rPr>
                <w:rFonts w:hint="eastAsia" w:ascii="仿宋_GB2312" w:hAnsi="仿宋_GB2312" w:eastAsia="仿宋_GB2312" w:cs="仿宋_GB2312"/>
                <w:b/>
                <w:bCs/>
                <w:i w:val="0"/>
                <w:iCs w:val="0"/>
                <w:color w:val="000000"/>
                <w:kern w:val="0"/>
                <w:sz w:val="32"/>
                <w:szCs w:val="32"/>
                <w:highlight w:val="none"/>
                <w:u w:val="none"/>
                <w:lang w:val="en-US" w:eastAsia="zh-CN" w:bidi="ar"/>
              </w:rPr>
              <w:t>参训人数</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32"/>
                <w:szCs w:val="32"/>
                <w:highlight w:val="none"/>
                <w:u w:val="none"/>
                <w:lang w:val="en-US" w:eastAsia="zh-CN" w:bidi="ar"/>
              </w:rPr>
            </w:pPr>
            <w:r>
              <w:rPr>
                <w:rFonts w:hint="eastAsia" w:ascii="仿宋_GB2312" w:hAnsi="仿宋_GB2312" w:eastAsia="仿宋_GB2312" w:cs="仿宋_GB2312"/>
                <w:b/>
                <w:bCs/>
                <w:i w:val="0"/>
                <w:iCs w:val="0"/>
                <w:color w:val="000000"/>
                <w:kern w:val="0"/>
                <w:sz w:val="32"/>
                <w:szCs w:val="32"/>
                <w:highlight w:val="none"/>
                <w:u w:val="none"/>
                <w:lang w:val="en-US" w:eastAsia="zh-CN" w:bidi="ar"/>
              </w:rPr>
              <w:t>时长</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32"/>
                <w:szCs w:val="32"/>
                <w:highlight w:val="none"/>
                <w:u w:val="none"/>
                <w:lang w:val="en-US" w:eastAsia="zh-CN" w:bidi="ar"/>
              </w:rPr>
            </w:pPr>
            <w:r>
              <w:rPr>
                <w:rFonts w:hint="eastAsia" w:ascii="仿宋_GB2312" w:hAnsi="仿宋_GB2312" w:eastAsia="仿宋_GB2312" w:cs="仿宋_GB2312"/>
                <w:b/>
                <w:bCs/>
                <w:i w:val="0"/>
                <w:iCs w:val="0"/>
                <w:color w:val="000000"/>
                <w:kern w:val="0"/>
                <w:sz w:val="32"/>
                <w:szCs w:val="32"/>
                <w:highlight w:val="none"/>
                <w:u w:val="none"/>
                <w:lang w:val="en-US" w:eastAsia="zh-CN" w:bidi="ar"/>
              </w:rPr>
              <w:t>培训方式</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b/>
                <w:bCs/>
                <w:i w:val="0"/>
                <w:iCs w:val="0"/>
                <w:color w:val="000000"/>
                <w:kern w:val="0"/>
                <w:sz w:val="32"/>
                <w:szCs w:val="32"/>
                <w:highlight w:val="none"/>
                <w:u w:val="none"/>
                <w:lang w:val="en-US" w:eastAsia="zh-CN" w:bidi="ar"/>
              </w:rPr>
            </w:pPr>
            <w:r>
              <w:rPr>
                <w:rFonts w:hint="eastAsia" w:ascii="仿宋_GB2312" w:hAnsi="仿宋_GB2312" w:eastAsia="仿宋_GB2312" w:cs="仿宋_GB2312"/>
                <w:b/>
                <w:bCs/>
                <w:i w:val="0"/>
                <w:iCs w:val="0"/>
                <w:color w:val="000000"/>
                <w:kern w:val="0"/>
                <w:sz w:val="32"/>
                <w:szCs w:val="32"/>
                <w:highlight w:val="none"/>
                <w:u w:val="none"/>
                <w:lang w:val="en-US" w:eastAsia="zh-CN" w:bidi="ar"/>
              </w:rPr>
              <w:t>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1</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主要负责人及</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安全管理人员专项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笔试+口试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2</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工业园区规范化专项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笔试+口试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3</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消防安全专项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实操</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4</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重大事故隐患及</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双重预防机制专项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2场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100+100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笔试+口试</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kern w:val="2"/>
                <w:sz w:val="32"/>
                <w:szCs w:val="32"/>
                <w:highlight w:val="none"/>
                <w:vertAlign w:val="baseline"/>
                <w:lang w:val="en-US" w:eastAsia="zh-CN" w:bidi="ar-SA"/>
              </w:rPr>
            </w:pPr>
            <w:r>
              <w:rPr>
                <w:rFonts w:hint="eastAsia" w:ascii="仿宋_GB2312" w:hAnsi="仿宋_GB2312" w:eastAsia="仿宋_GB2312" w:cs="仿宋_GB2312"/>
                <w:i w:val="0"/>
                <w:iCs w:val="0"/>
                <w:color w:val="000000"/>
                <w:kern w:val="0"/>
                <w:sz w:val="32"/>
                <w:szCs w:val="32"/>
                <w:highlight w:val="none"/>
                <w:u w:val="none"/>
                <w:lang w:val="en-US" w:eastAsia="zh-CN" w:bidi="ar"/>
              </w:rPr>
              <w:t>5</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危险作业专项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kern w:val="2"/>
                <w:sz w:val="32"/>
                <w:szCs w:val="32"/>
                <w:highlight w:val="none"/>
                <w:vertAlign w:val="baseline"/>
                <w:lang w:val="en-US" w:eastAsia="zh-CN" w:bidi="ar-SA"/>
              </w:rPr>
            </w:pPr>
            <w:r>
              <w:rPr>
                <w:rFonts w:hint="eastAsia" w:ascii="仿宋_GB2312" w:hAnsi="仿宋_GB2312" w:eastAsia="仿宋_GB2312" w:cs="仿宋_GB2312"/>
                <w:i w:val="0"/>
                <w:iCs w:val="0"/>
                <w:color w:val="000000"/>
                <w:kern w:val="0"/>
                <w:sz w:val="32"/>
                <w:szCs w:val="32"/>
                <w:highlight w:val="none"/>
                <w:u w:val="none"/>
                <w:lang w:val="en-US" w:eastAsia="zh-CN" w:bidi="ar"/>
              </w:rPr>
              <w:t>6</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危险作业（焊工）专场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2场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250+250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3学时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7</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bidi="ar"/>
              </w:rPr>
              <w:t>有限空间专项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2场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50+50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口试+实操</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8</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粉尘涉爆专项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笔试+口试</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9</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金属熔融专项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30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3学时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sz w:val="32"/>
                <w:szCs w:val="32"/>
                <w:highlight w:val="none"/>
                <w:vertAlign w:val="baseline"/>
                <w:lang w:val="en-US" w:eastAsia="zh-CN"/>
              </w:rPr>
              <w:t>锂离子电池</w:t>
            </w:r>
            <w:r>
              <w:rPr>
                <w:rFonts w:hint="eastAsia" w:ascii="仿宋_GB2312" w:hAnsi="仿宋_GB2312" w:eastAsia="仿宋_GB2312" w:cs="仿宋_GB2312"/>
                <w:i w:val="0"/>
                <w:iCs w:val="0"/>
                <w:color w:val="000000"/>
                <w:kern w:val="0"/>
                <w:sz w:val="32"/>
                <w:szCs w:val="32"/>
                <w:highlight w:val="none"/>
                <w:u w:val="none"/>
                <w:lang w:val="en-US" w:eastAsia="zh-CN" w:bidi="ar"/>
              </w:rPr>
              <w:t>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3学时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11</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sz w:val="32"/>
                <w:szCs w:val="32"/>
                <w:highlight w:val="none"/>
                <w:vertAlign w:val="baseline"/>
                <w:lang w:val="en-US" w:eastAsia="zh-CN"/>
              </w:rPr>
              <w:t>危险化学品及燃气专项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3学时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笔试+口试</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12</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kern w:val="2"/>
                <w:sz w:val="32"/>
                <w:szCs w:val="32"/>
                <w:highlight w:val="none"/>
                <w:vertAlign w:val="baseline"/>
                <w:lang w:val="en-US" w:eastAsia="zh-CN" w:bidi="ar-SA"/>
              </w:rPr>
            </w:pPr>
            <w:r>
              <w:rPr>
                <w:rFonts w:hint="eastAsia" w:ascii="仿宋_GB2312" w:hAnsi="仿宋_GB2312" w:eastAsia="仿宋_GB2312" w:cs="仿宋_GB2312"/>
                <w:i w:val="0"/>
                <w:iCs w:val="0"/>
                <w:color w:val="000000"/>
                <w:kern w:val="0"/>
                <w:sz w:val="32"/>
                <w:szCs w:val="32"/>
                <w:highlight w:val="none"/>
                <w:u w:val="none"/>
                <w:lang w:val="en-US" w:eastAsia="zh-CN" w:bidi="ar"/>
              </w:rPr>
              <w:t>非煤矿山专项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20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13</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电气安全专项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14</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安全附件专项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15</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环保设备专项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3学时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16</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反三违专项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17</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应急装备使用穿戴及</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常见意外事故紧急处理专项</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2场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100+100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实操</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18</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普法专场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19</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补训补考</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1场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5学时</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线上+线下</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笔试+口试</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电子试卷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20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企业实地实操专场</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根据实际</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情况调整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根据实际</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情况调整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根据实际</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情况调整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根据实际</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情况调整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根据实际</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仿宋_GB2312" w:hAnsi="仿宋_GB2312" w:eastAsia="仿宋_GB2312" w:cs="仿宋_GB2312"/>
                <w:i w:val="0"/>
                <w:iCs w:val="0"/>
                <w:color w:val="000000"/>
                <w:kern w:val="0"/>
                <w:sz w:val="32"/>
                <w:szCs w:val="32"/>
                <w:highlight w:val="none"/>
                <w:u w:val="none"/>
                <w:lang w:val="en-US" w:eastAsia="zh-CN" w:bidi="ar"/>
              </w:rPr>
            </w:pPr>
            <w:r>
              <w:rPr>
                <w:rFonts w:hint="eastAsia" w:ascii="仿宋_GB2312" w:hAnsi="仿宋_GB2312" w:eastAsia="仿宋_GB2312" w:cs="仿宋_GB2312"/>
                <w:i w:val="0"/>
                <w:iCs w:val="0"/>
                <w:color w:val="000000"/>
                <w:kern w:val="0"/>
                <w:sz w:val="32"/>
                <w:szCs w:val="32"/>
                <w:highlight w:val="none"/>
                <w:u w:val="none"/>
                <w:lang w:val="en-US" w:eastAsia="zh-CN" w:bidi="ar"/>
              </w:rPr>
              <w:t>情况调整</w:t>
            </w:r>
          </w:p>
        </w:tc>
      </w:tr>
    </w:tbl>
    <w:p>
      <w:pPr>
        <w:rPr>
          <w:highlight w:val="none"/>
        </w:rPr>
      </w:pPr>
    </w:p>
    <w:sectPr>
      <w:pgSz w:w="16838" w:h="11906" w:orient="landscape"/>
      <w:pgMar w:top="1587" w:right="2098" w:bottom="1474" w:left="198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FF6240"/>
    <w:multiLevelType w:val="singleLevel"/>
    <w:tmpl w:val="90FF6240"/>
    <w:lvl w:ilvl="0" w:tentative="0">
      <w:start w:val="1"/>
      <w:numFmt w:val="chineseCounting"/>
      <w:suff w:val="nothing"/>
      <w:lvlText w:val="（%1）"/>
      <w:lvlJc w:val="left"/>
      <w:pPr>
        <w:tabs>
          <w:tab w:val="left" w:pos="0"/>
        </w:tabs>
        <w:ind w:left="0" w:firstLine="40"/>
      </w:pPr>
      <w:rPr>
        <w:rFonts w:hint="eastAsia" w:ascii="楷体_GB2312" w:hAnsi="楷体_GB2312" w:eastAsia="楷体_GB2312" w:cs="楷体_GB2312"/>
        <w:color w:val="000000" w:themeColor="text1"/>
        <w:sz w:val="32"/>
        <w:szCs w:val="32"/>
        <w14:textFill>
          <w14:solidFill>
            <w14:schemeClr w14:val="tx1"/>
          </w14:solidFill>
        </w14:textFill>
      </w:rPr>
    </w:lvl>
  </w:abstractNum>
  <w:abstractNum w:abstractNumId="1">
    <w:nsid w:val="9F7AAD8F"/>
    <w:multiLevelType w:val="singleLevel"/>
    <w:tmpl w:val="9F7AAD8F"/>
    <w:lvl w:ilvl="0" w:tentative="0">
      <w:start w:val="1"/>
      <w:numFmt w:val="decimal"/>
      <w:suff w:val="nothing"/>
      <w:lvlText w:val="(%1)"/>
      <w:lvlJc w:val="left"/>
      <w:pPr>
        <w:tabs>
          <w:tab w:val="left" w:pos="0"/>
        </w:tabs>
        <w:ind w:left="0" w:leftChars="0" w:firstLine="40" w:firstLineChars="0"/>
      </w:pPr>
      <w:rPr>
        <w:rFonts w:hint="default" w:ascii="仿宋_GB2312" w:hAnsi="仿宋_GB2312" w:eastAsia="仿宋_GB2312" w:cs="仿宋_GB2312"/>
      </w:rPr>
    </w:lvl>
  </w:abstractNum>
  <w:abstractNum w:abstractNumId="2">
    <w:nsid w:val="D8DE05D2"/>
    <w:multiLevelType w:val="singleLevel"/>
    <w:tmpl w:val="D8DE05D2"/>
    <w:lvl w:ilvl="0" w:tentative="0">
      <w:start w:val="1"/>
      <w:numFmt w:val="decimal"/>
      <w:suff w:val="nothing"/>
      <w:lvlText w:val="%1."/>
      <w:lvlJc w:val="left"/>
      <w:pPr>
        <w:tabs>
          <w:tab w:val="left" w:pos="0"/>
        </w:tabs>
        <w:ind w:firstLine="40"/>
      </w:pPr>
      <w:rPr>
        <w:rFonts w:hint="default" w:ascii="仿宋_GB2312" w:hAnsi="仿宋_GB2312" w:eastAsia="仿宋_GB2312" w:cs="仿宋_GB2312"/>
      </w:rPr>
    </w:lvl>
  </w:abstractNum>
  <w:abstractNum w:abstractNumId="3">
    <w:nsid w:val="DB8E7EAF"/>
    <w:multiLevelType w:val="singleLevel"/>
    <w:tmpl w:val="DB8E7EAF"/>
    <w:lvl w:ilvl="0" w:tentative="0">
      <w:start w:val="1"/>
      <w:numFmt w:val="chineseCounting"/>
      <w:suff w:val="nothing"/>
      <w:lvlText w:val="（%1）"/>
      <w:lvlJc w:val="left"/>
      <w:rPr>
        <w:rFonts w:hint="eastAsia" w:ascii="楷体_GB2312" w:hAnsi="楷体_GB2312" w:eastAsia="楷体_GB2312" w:cs="楷体_GB2312"/>
        <w:sz w:val="32"/>
        <w:szCs w:val="32"/>
      </w:rPr>
    </w:lvl>
  </w:abstractNum>
  <w:abstractNum w:abstractNumId="4">
    <w:nsid w:val="E382267B"/>
    <w:multiLevelType w:val="singleLevel"/>
    <w:tmpl w:val="E382267B"/>
    <w:lvl w:ilvl="0" w:tentative="0">
      <w:start w:val="1"/>
      <w:numFmt w:val="decimal"/>
      <w:suff w:val="nothing"/>
      <w:lvlText w:val="(%1)"/>
      <w:lvlJc w:val="left"/>
      <w:pPr>
        <w:tabs>
          <w:tab w:val="left" w:pos="0"/>
        </w:tabs>
        <w:ind w:left="0" w:leftChars="0" w:firstLine="0" w:firstLineChars="0"/>
      </w:pPr>
      <w:rPr>
        <w:rFonts w:hint="default" w:ascii="仿宋_GB2312" w:hAnsi="仿宋_GB2312" w:eastAsia="仿宋_GB2312" w:cs="仿宋_GB2312"/>
      </w:rPr>
    </w:lvl>
  </w:abstractNum>
  <w:abstractNum w:abstractNumId="5">
    <w:nsid w:val="EB3C4652"/>
    <w:multiLevelType w:val="singleLevel"/>
    <w:tmpl w:val="EB3C4652"/>
    <w:lvl w:ilvl="0" w:tentative="0">
      <w:start w:val="2"/>
      <w:numFmt w:val="chineseCounting"/>
      <w:suff w:val="nothing"/>
      <w:lvlText w:val="%1、"/>
      <w:lvlJc w:val="left"/>
      <w:rPr>
        <w:rFonts w:hint="eastAsia"/>
      </w:rPr>
    </w:lvl>
  </w:abstractNum>
  <w:abstractNum w:abstractNumId="6">
    <w:nsid w:val="10D071CA"/>
    <w:multiLevelType w:val="singleLevel"/>
    <w:tmpl w:val="10D071CA"/>
    <w:lvl w:ilvl="0" w:tentative="0">
      <w:start w:val="1"/>
      <w:numFmt w:val="decimal"/>
      <w:suff w:val="nothing"/>
      <w:lvlText w:val="%1."/>
      <w:lvlJc w:val="left"/>
      <w:pPr>
        <w:tabs>
          <w:tab w:val="left" w:pos="0"/>
        </w:tabs>
        <w:ind w:firstLine="40"/>
      </w:pPr>
      <w:rPr>
        <w:rFonts w:hint="default" w:ascii="仿宋_GB2312" w:hAnsi="仿宋_GB2312" w:eastAsia="仿宋_GB2312" w:cs="仿宋_GB2312"/>
      </w:rPr>
    </w:lvl>
  </w:abstractNum>
  <w:abstractNum w:abstractNumId="7">
    <w:nsid w:val="2D3C2575"/>
    <w:multiLevelType w:val="singleLevel"/>
    <w:tmpl w:val="2D3C2575"/>
    <w:lvl w:ilvl="0" w:tentative="0">
      <w:start w:val="1"/>
      <w:numFmt w:val="decimal"/>
      <w:suff w:val="nothing"/>
      <w:lvlText w:val="(%1)"/>
      <w:lvlJc w:val="left"/>
      <w:pPr>
        <w:tabs>
          <w:tab w:val="left" w:pos="0"/>
        </w:tabs>
        <w:ind w:left="0" w:leftChars="0" w:firstLine="40" w:firstLineChars="0"/>
      </w:pPr>
      <w:rPr>
        <w:rFonts w:hint="default" w:ascii="仿宋_GB2312" w:hAnsi="仿宋_GB2312" w:eastAsia="仿宋_GB2312" w:cs="仿宋_GB2312"/>
      </w:rPr>
    </w:lvl>
  </w:abstractNum>
  <w:abstractNum w:abstractNumId="8">
    <w:nsid w:val="3A93A454"/>
    <w:multiLevelType w:val="singleLevel"/>
    <w:tmpl w:val="3A93A454"/>
    <w:lvl w:ilvl="0" w:tentative="0">
      <w:start w:val="1"/>
      <w:numFmt w:val="decimal"/>
      <w:suff w:val="nothing"/>
      <w:lvlText w:val="%1."/>
      <w:lvlJc w:val="left"/>
      <w:pPr>
        <w:tabs>
          <w:tab w:val="left" w:pos="0"/>
        </w:tabs>
        <w:ind w:firstLine="40"/>
      </w:pPr>
      <w:rPr>
        <w:rFonts w:hint="default" w:ascii="仿宋_GB2312" w:hAnsi="仿宋_GB2312" w:eastAsia="仿宋_GB2312" w:cs="仿宋_GB2312"/>
      </w:rPr>
    </w:lvl>
  </w:abstractNum>
  <w:abstractNum w:abstractNumId="9">
    <w:nsid w:val="473E1B4B"/>
    <w:multiLevelType w:val="singleLevel"/>
    <w:tmpl w:val="473E1B4B"/>
    <w:lvl w:ilvl="0" w:tentative="0">
      <w:start w:val="1"/>
      <w:numFmt w:val="decimal"/>
      <w:suff w:val="nothing"/>
      <w:lvlText w:val="%1."/>
      <w:lvlJc w:val="left"/>
      <w:pPr>
        <w:tabs>
          <w:tab w:val="left" w:pos="0"/>
        </w:tabs>
        <w:ind w:firstLine="40"/>
      </w:pPr>
      <w:rPr>
        <w:rFonts w:hint="default" w:ascii="仿宋_GB2312" w:hAnsi="仿宋_GB2312" w:eastAsia="仿宋_GB2312" w:cs="仿宋_GB2312"/>
        <w:sz w:val="32"/>
        <w:szCs w:val="32"/>
      </w:rPr>
    </w:lvl>
  </w:abstractNum>
  <w:abstractNum w:abstractNumId="10">
    <w:nsid w:val="47CF4C69"/>
    <w:multiLevelType w:val="singleLevel"/>
    <w:tmpl w:val="47CF4C69"/>
    <w:lvl w:ilvl="0" w:tentative="0">
      <w:start w:val="1"/>
      <w:numFmt w:val="decimal"/>
      <w:suff w:val="nothing"/>
      <w:lvlText w:val="%1."/>
      <w:lvlJc w:val="left"/>
      <w:pPr>
        <w:tabs>
          <w:tab w:val="left" w:pos="0"/>
        </w:tabs>
        <w:ind w:firstLine="40"/>
      </w:pPr>
      <w:rPr>
        <w:rFonts w:hint="default" w:ascii="仿宋_GB2312" w:hAnsi="仿宋_GB2312" w:eastAsia="仿宋_GB2312" w:cs="仿宋_GB2312"/>
      </w:rPr>
    </w:lvl>
  </w:abstractNum>
  <w:abstractNum w:abstractNumId="11">
    <w:nsid w:val="4F048B86"/>
    <w:multiLevelType w:val="singleLevel"/>
    <w:tmpl w:val="4F048B86"/>
    <w:lvl w:ilvl="0" w:tentative="0">
      <w:start w:val="1"/>
      <w:numFmt w:val="decimal"/>
      <w:suff w:val="nothing"/>
      <w:lvlText w:val="(%1)"/>
      <w:lvlJc w:val="left"/>
      <w:pPr>
        <w:tabs>
          <w:tab w:val="left" w:pos="0"/>
        </w:tabs>
        <w:ind w:left="0" w:leftChars="0" w:firstLine="40" w:firstLineChars="0"/>
      </w:pPr>
      <w:rPr>
        <w:rFonts w:hint="default" w:ascii="仿宋_GB2312" w:hAnsi="仿宋_GB2312" w:eastAsia="仿宋_GB2312" w:cs="仿宋_GB2312"/>
      </w:rPr>
    </w:lvl>
  </w:abstractNum>
  <w:abstractNum w:abstractNumId="12">
    <w:nsid w:val="6201E681"/>
    <w:multiLevelType w:val="singleLevel"/>
    <w:tmpl w:val="6201E681"/>
    <w:lvl w:ilvl="0" w:tentative="0">
      <w:start w:val="1"/>
      <w:numFmt w:val="decimal"/>
      <w:suff w:val="nothing"/>
      <w:lvlText w:val="(%1)"/>
      <w:lvlJc w:val="left"/>
      <w:pPr>
        <w:tabs>
          <w:tab w:val="left" w:pos="0"/>
        </w:tabs>
        <w:ind w:left="0" w:leftChars="0" w:firstLine="40" w:firstLineChars="0"/>
      </w:pPr>
      <w:rPr>
        <w:rFonts w:hint="default" w:ascii="仿宋_GB2312" w:hAnsi="仿宋_GB2312" w:eastAsia="仿宋_GB2312" w:cs="仿宋_GB2312"/>
      </w:rPr>
    </w:lvl>
  </w:abstractNum>
  <w:abstractNum w:abstractNumId="13">
    <w:nsid w:val="63E6E213"/>
    <w:multiLevelType w:val="singleLevel"/>
    <w:tmpl w:val="63E6E213"/>
    <w:lvl w:ilvl="0" w:tentative="0">
      <w:start w:val="1"/>
      <w:numFmt w:val="decimal"/>
      <w:suff w:val="nothing"/>
      <w:lvlText w:val="%1."/>
      <w:lvlJc w:val="left"/>
      <w:pPr>
        <w:tabs>
          <w:tab w:val="left" w:pos="0"/>
        </w:tabs>
      </w:pPr>
      <w:rPr>
        <w:rFonts w:hint="default" w:ascii="仿宋_GB2312" w:hAnsi="仿宋_GB2312" w:eastAsia="仿宋_GB2312" w:cs="仿宋_GB2312"/>
      </w:rPr>
    </w:lvl>
  </w:abstractNum>
  <w:abstractNum w:abstractNumId="14">
    <w:nsid w:val="69BF4ED3"/>
    <w:multiLevelType w:val="singleLevel"/>
    <w:tmpl w:val="69BF4ED3"/>
    <w:lvl w:ilvl="0" w:tentative="0">
      <w:start w:val="1"/>
      <w:numFmt w:val="decimal"/>
      <w:suff w:val="nothing"/>
      <w:lvlText w:val="%1."/>
      <w:lvlJc w:val="left"/>
      <w:pPr>
        <w:tabs>
          <w:tab w:val="left" w:pos="0"/>
        </w:tabs>
        <w:ind w:firstLine="40"/>
      </w:pPr>
      <w:rPr>
        <w:rFonts w:hint="default" w:ascii="仿宋_GB2312" w:hAnsi="仿宋_GB2312" w:eastAsia="仿宋_GB2312" w:cs="仿宋_GB2312"/>
      </w:rPr>
    </w:lvl>
  </w:abstractNum>
  <w:abstractNum w:abstractNumId="15">
    <w:nsid w:val="763667C7"/>
    <w:multiLevelType w:val="singleLevel"/>
    <w:tmpl w:val="763667C7"/>
    <w:lvl w:ilvl="0" w:tentative="0">
      <w:start w:val="1"/>
      <w:numFmt w:val="decimal"/>
      <w:suff w:val="nothing"/>
      <w:lvlText w:val="%1."/>
      <w:lvlJc w:val="left"/>
      <w:pPr>
        <w:tabs>
          <w:tab w:val="left" w:pos="0"/>
        </w:tabs>
        <w:ind w:firstLine="40"/>
      </w:pPr>
      <w:rPr>
        <w:rFonts w:hint="default" w:ascii="仿宋_GB2312" w:hAnsi="仿宋_GB2312" w:eastAsia="仿宋_GB2312" w:cs="仿宋_GB2312"/>
      </w:rPr>
    </w:lvl>
  </w:abstractNum>
  <w:abstractNum w:abstractNumId="16">
    <w:nsid w:val="7C90F630"/>
    <w:multiLevelType w:val="singleLevel"/>
    <w:tmpl w:val="7C90F630"/>
    <w:lvl w:ilvl="0" w:tentative="0">
      <w:start w:val="1"/>
      <w:numFmt w:val="decimal"/>
      <w:suff w:val="nothing"/>
      <w:lvlText w:val="(%1)"/>
      <w:lvlJc w:val="left"/>
      <w:pPr>
        <w:tabs>
          <w:tab w:val="left" w:pos="0"/>
        </w:tabs>
        <w:ind w:left="0" w:leftChars="0" w:firstLine="40" w:firstLineChars="0"/>
      </w:pPr>
      <w:rPr>
        <w:rFonts w:hint="default" w:ascii="仿宋_GB2312" w:hAnsi="仿宋_GB2312" w:eastAsia="仿宋_GB2312" w:cs="仿宋_GB2312"/>
      </w:rPr>
    </w:lvl>
  </w:abstractNum>
  <w:num w:numId="1">
    <w:abstractNumId w:val="5"/>
  </w:num>
  <w:num w:numId="2">
    <w:abstractNumId w:val="0"/>
  </w:num>
  <w:num w:numId="3">
    <w:abstractNumId w:val="13"/>
  </w:num>
  <w:num w:numId="4">
    <w:abstractNumId w:val="4"/>
  </w:num>
  <w:num w:numId="5">
    <w:abstractNumId w:val="9"/>
  </w:num>
  <w:num w:numId="6">
    <w:abstractNumId w:val="16"/>
  </w:num>
  <w:num w:numId="7">
    <w:abstractNumId w:val="6"/>
  </w:num>
  <w:num w:numId="8">
    <w:abstractNumId w:val="11"/>
  </w:num>
  <w:num w:numId="9">
    <w:abstractNumId w:val="8"/>
  </w:num>
  <w:num w:numId="10">
    <w:abstractNumId w:val="1"/>
  </w:num>
  <w:num w:numId="11">
    <w:abstractNumId w:val="10"/>
  </w:num>
  <w:num w:numId="12">
    <w:abstractNumId w:val="14"/>
  </w:num>
  <w:num w:numId="13">
    <w:abstractNumId w:val="2"/>
  </w:num>
  <w:num w:numId="14">
    <w:abstractNumId w:val="7"/>
  </w:num>
  <w:num w:numId="15">
    <w:abstractNumId w:val="15"/>
  </w:num>
  <w:num w:numId="16">
    <w:abstractNumId w:val="12"/>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1YmM3NWNhOTg0ZDBkNGYzNjRjMzkyNGYzMTNhODMifQ=="/>
    <w:docVar w:name="KSO_WPS_MARK_KEY" w:val="f50000ac-6035-4b5a-a403-e5bbdea82685"/>
  </w:docVars>
  <w:rsids>
    <w:rsidRoot w:val="00172A27"/>
    <w:rsid w:val="01773FA2"/>
    <w:rsid w:val="017930F7"/>
    <w:rsid w:val="0310539A"/>
    <w:rsid w:val="035A360D"/>
    <w:rsid w:val="037E2547"/>
    <w:rsid w:val="03BB6210"/>
    <w:rsid w:val="0592672F"/>
    <w:rsid w:val="05B437D3"/>
    <w:rsid w:val="05BD0878"/>
    <w:rsid w:val="05F42F51"/>
    <w:rsid w:val="06AF3684"/>
    <w:rsid w:val="06BC17B4"/>
    <w:rsid w:val="088F0184"/>
    <w:rsid w:val="095A48E7"/>
    <w:rsid w:val="0A1E20A6"/>
    <w:rsid w:val="0BD26E0E"/>
    <w:rsid w:val="0C4B6E38"/>
    <w:rsid w:val="0C7D23E5"/>
    <w:rsid w:val="0CBE38F4"/>
    <w:rsid w:val="0D4C225E"/>
    <w:rsid w:val="0D597375"/>
    <w:rsid w:val="0E181A8A"/>
    <w:rsid w:val="0EDC3C6E"/>
    <w:rsid w:val="0EFA0CA0"/>
    <w:rsid w:val="0F340C24"/>
    <w:rsid w:val="0F545EB6"/>
    <w:rsid w:val="10036F54"/>
    <w:rsid w:val="10406DB9"/>
    <w:rsid w:val="104C4DC9"/>
    <w:rsid w:val="106F4084"/>
    <w:rsid w:val="11B17F14"/>
    <w:rsid w:val="120C4DAA"/>
    <w:rsid w:val="12CF5B26"/>
    <w:rsid w:val="133D2F1E"/>
    <w:rsid w:val="1474051E"/>
    <w:rsid w:val="15090F10"/>
    <w:rsid w:val="1540013C"/>
    <w:rsid w:val="175D340E"/>
    <w:rsid w:val="179F707B"/>
    <w:rsid w:val="1841525A"/>
    <w:rsid w:val="184620F4"/>
    <w:rsid w:val="18CC73BC"/>
    <w:rsid w:val="1A3172FC"/>
    <w:rsid w:val="1B4C3F58"/>
    <w:rsid w:val="1BF81A4A"/>
    <w:rsid w:val="1C4844B3"/>
    <w:rsid w:val="1CCC06EE"/>
    <w:rsid w:val="1DCB5271"/>
    <w:rsid w:val="1DCC113C"/>
    <w:rsid w:val="1EB33EEA"/>
    <w:rsid w:val="1FBD26F3"/>
    <w:rsid w:val="1FEB2CED"/>
    <w:rsid w:val="204316CA"/>
    <w:rsid w:val="204B0788"/>
    <w:rsid w:val="207D005D"/>
    <w:rsid w:val="20DB0078"/>
    <w:rsid w:val="214D4EB3"/>
    <w:rsid w:val="24816F73"/>
    <w:rsid w:val="24E2769D"/>
    <w:rsid w:val="24E72893"/>
    <w:rsid w:val="255A0E55"/>
    <w:rsid w:val="25A96DAC"/>
    <w:rsid w:val="25BA7F75"/>
    <w:rsid w:val="27D51569"/>
    <w:rsid w:val="280D16C3"/>
    <w:rsid w:val="282412E8"/>
    <w:rsid w:val="2880049E"/>
    <w:rsid w:val="297E00EC"/>
    <w:rsid w:val="299327C4"/>
    <w:rsid w:val="2C3E23A2"/>
    <w:rsid w:val="2ED72066"/>
    <w:rsid w:val="30305B1B"/>
    <w:rsid w:val="3099554A"/>
    <w:rsid w:val="30C90297"/>
    <w:rsid w:val="31655C4E"/>
    <w:rsid w:val="32194741"/>
    <w:rsid w:val="3288207C"/>
    <w:rsid w:val="32C5265C"/>
    <w:rsid w:val="32C92E2F"/>
    <w:rsid w:val="32CB6CE4"/>
    <w:rsid w:val="33A46447"/>
    <w:rsid w:val="34964AD5"/>
    <w:rsid w:val="34BC1492"/>
    <w:rsid w:val="35137050"/>
    <w:rsid w:val="35CD32D3"/>
    <w:rsid w:val="36055FB1"/>
    <w:rsid w:val="375A4A67"/>
    <w:rsid w:val="386D639F"/>
    <w:rsid w:val="38785632"/>
    <w:rsid w:val="39CB0CE5"/>
    <w:rsid w:val="39F913A9"/>
    <w:rsid w:val="3A883217"/>
    <w:rsid w:val="3B6C6D0D"/>
    <w:rsid w:val="3BB9138A"/>
    <w:rsid w:val="3C0723A2"/>
    <w:rsid w:val="3C122D1E"/>
    <w:rsid w:val="3C1D1749"/>
    <w:rsid w:val="3C413397"/>
    <w:rsid w:val="3CC13DBB"/>
    <w:rsid w:val="3F7A6532"/>
    <w:rsid w:val="408469E4"/>
    <w:rsid w:val="415E2613"/>
    <w:rsid w:val="41884094"/>
    <w:rsid w:val="436065A2"/>
    <w:rsid w:val="43810FF3"/>
    <w:rsid w:val="43E320A9"/>
    <w:rsid w:val="47461F7B"/>
    <w:rsid w:val="47BE6742"/>
    <w:rsid w:val="499253C3"/>
    <w:rsid w:val="49D1292A"/>
    <w:rsid w:val="4A6B76DF"/>
    <w:rsid w:val="4A76645C"/>
    <w:rsid w:val="4A835FE1"/>
    <w:rsid w:val="4AA41598"/>
    <w:rsid w:val="4C2E3A2C"/>
    <w:rsid w:val="4DFD4F82"/>
    <w:rsid w:val="4E161B68"/>
    <w:rsid w:val="4E994E01"/>
    <w:rsid w:val="4F5E1B8C"/>
    <w:rsid w:val="4FDA6C5E"/>
    <w:rsid w:val="4FEC69AC"/>
    <w:rsid w:val="50F04F55"/>
    <w:rsid w:val="50F6735E"/>
    <w:rsid w:val="5119199D"/>
    <w:rsid w:val="51B727A0"/>
    <w:rsid w:val="5270414C"/>
    <w:rsid w:val="53E05B2D"/>
    <w:rsid w:val="545A4F71"/>
    <w:rsid w:val="5524243C"/>
    <w:rsid w:val="556033D4"/>
    <w:rsid w:val="566E141A"/>
    <w:rsid w:val="56AF79C4"/>
    <w:rsid w:val="574B7843"/>
    <w:rsid w:val="57650F48"/>
    <w:rsid w:val="57BD6D87"/>
    <w:rsid w:val="581110D0"/>
    <w:rsid w:val="58144692"/>
    <w:rsid w:val="582132E9"/>
    <w:rsid w:val="59164B06"/>
    <w:rsid w:val="59EF3319"/>
    <w:rsid w:val="5A1240F2"/>
    <w:rsid w:val="5B2B529F"/>
    <w:rsid w:val="5BE409C3"/>
    <w:rsid w:val="5CE57ED2"/>
    <w:rsid w:val="5DF61EF1"/>
    <w:rsid w:val="5FC2253A"/>
    <w:rsid w:val="60156A32"/>
    <w:rsid w:val="6061582C"/>
    <w:rsid w:val="60825D61"/>
    <w:rsid w:val="60A62A9D"/>
    <w:rsid w:val="61311352"/>
    <w:rsid w:val="63862972"/>
    <w:rsid w:val="641301BB"/>
    <w:rsid w:val="645C2636"/>
    <w:rsid w:val="653A7EB8"/>
    <w:rsid w:val="66236B9E"/>
    <w:rsid w:val="664A365E"/>
    <w:rsid w:val="6653435E"/>
    <w:rsid w:val="66A40875"/>
    <w:rsid w:val="66D56CFE"/>
    <w:rsid w:val="67421678"/>
    <w:rsid w:val="689B53DF"/>
    <w:rsid w:val="689C07B9"/>
    <w:rsid w:val="69AF3970"/>
    <w:rsid w:val="69FD3A6F"/>
    <w:rsid w:val="6A075683"/>
    <w:rsid w:val="6BB02E01"/>
    <w:rsid w:val="6C09284A"/>
    <w:rsid w:val="6C5816D0"/>
    <w:rsid w:val="6CA36342"/>
    <w:rsid w:val="6CEA0C3F"/>
    <w:rsid w:val="6D79502A"/>
    <w:rsid w:val="6DE67BDD"/>
    <w:rsid w:val="6EA713C0"/>
    <w:rsid w:val="6EFF28A8"/>
    <w:rsid w:val="6F434296"/>
    <w:rsid w:val="70E30228"/>
    <w:rsid w:val="7206621D"/>
    <w:rsid w:val="72C53ED8"/>
    <w:rsid w:val="73307239"/>
    <w:rsid w:val="73950D2D"/>
    <w:rsid w:val="73C05C6D"/>
    <w:rsid w:val="73D67598"/>
    <w:rsid w:val="748A428C"/>
    <w:rsid w:val="75687D2E"/>
    <w:rsid w:val="761E11F2"/>
    <w:rsid w:val="773537A2"/>
    <w:rsid w:val="77DB3F30"/>
    <w:rsid w:val="79686630"/>
    <w:rsid w:val="79D83D75"/>
    <w:rsid w:val="79E654C7"/>
    <w:rsid w:val="7A481AAB"/>
    <w:rsid w:val="7A6F50F2"/>
    <w:rsid w:val="7A8C4B1E"/>
    <w:rsid w:val="7B704CEC"/>
    <w:rsid w:val="7DDB7408"/>
    <w:rsid w:val="7E233080"/>
    <w:rsid w:val="7FC2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20" w:lineRule="exact"/>
      <w:ind w:firstLine="0" w:firstLineChars="0"/>
      <w:jc w:val="center"/>
      <w:outlineLvl w:val="0"/>
    </w:pPr>
    <w:rPr>
      <w:rFonts w:ascii="方正小标宋简体" w:hAnsi="方正小标宋简体" w:eastAsia="方正小标宋简体" w:cstheme="minorBidi"/>
      <w:kern w:val="44"/>
      <w:sz w:val="44"/>
    </w:rPr>
  </w:style>
  <w:style w:type="paragraph" w:styleId="3">
    <w:name w:val="heading 2"/>
    <w:next w:val="1"/>
    <w:semiHidden/>
    <w:unhideWhenUsed/>
    <w:qFormat/>
    <w:uiPriority w:val="0"/>
    <w:pPr>
      <w:keepNext w:val="0"/>
      <w:keepLines w:val="0"/>
      <w:widowControl w:val="0"/>
      <w:overflowPunct w:val="0"/>
      <w:topLinePunct/>
      <w:spacing w:beforeLines="0" w:beforeAutospacing="0" w:afterLines="0" w:afterAutospacing="0" w:line="560" w:lineRule="exact"/>
      <w:ind w:firstLine="892" w:firstLineChars="200"/>
      <w:jc w:val="both"/>
      <w:outlineLvl w:val="1"/>
    </w:pPr>
    <w:rPr>
      <w:rFonts w:ascii="Times New Roman" w:hAnsi="Times New Roman" w:eastAsia="黑体" w:cs="Times New Roman"/>
      <w:kern w:val="2"/>
      <w:sz w:val="32"/>
      <w:szCs w:val="32"/>
    </w:rPr>
  </w:style>
  <w:style w:type="paragraph" w:styleId="4">
    <w:name w:val="heading 3"/>
    <w:next w:val="1"/>
    <w:semiHidden/>
    <w:unhideWhenUsed/>
    <w:qFormat/>
    <w:uiPriority w:val="0"/>
    <w:pPr>
      <w:keepNext w:val="0"/>
      <w:keepLines w:val="0"/>
      <w:widowControl w:val="0"/>
      <w:overflowPunct w:val="0"/>
      <w:topLinePunct/>
      <w:spacing w:beforeLines="0" w:beforeAutospacing="0" w:afterLines="0" w:afterAutospacing="0" w:line="560" w:lineRule="exact"/>
      <w:ind w:firstLine="892" w:firstLineChars="200"/>
      <w:jc w:val="both"/>
      <w:outlineLvl w:val="2"/>
    </w:pPr>
    <w:rPr>
      <w:rFonts w:ascii="Times New Roman" w:hAnsi="Times New Roman" w:eastAsia="楷体_GB2312" w:cs="Times New Roman"/>
      <w:kern w:val="2"/>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next w:val="1"/>
    <w:qFormat/>
    <w:uiPriority w:val="0"/>
    <w:pPr>
      <w:spacing w:line="580" w:lineRule="exact"/>
    </w:pPr>
    <w:rPr>
      <w:rFonts w:ascii="Calibri" w:hAnsi="Calibri" w:eastAsia="仿宋_GB2312" w:cs="Times New Roman"/>
      <w:spacing w:val="-4"/>
      <w:kern w:val="0"/>
      <w:sz w:val="32"/>
    </w:rPr>
  </w:style>
  <w:style w:type="paragraph" w:styleId="7">
    <w:name w:val="footer"/>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table" w:styleId="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6059</Words>
  <Characters>6470</Characters>
  <Lines>0</Lines>
  <Paragraphs>0</Paragraphs>
  <TotalTime>6</TotalTime>
  <ScaleCrop>false</ScaleCrop>
  <LinksUpToDate>false</LinksUpToDate>
  <CharactersWithSpaces>6476</CharactersWithSpaces>
  <Application>WPS Office_11.8.2.12251_F1E327BC-269C-435d-A152-05C5408002CA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2025-01-13T07:02:00Z</dcterms:created>
  <dc:creator>叁業</dc:creator>
  <cp:lastModifiedBy>闷瓜</cp:lastModifiedBy>
  <cp:lastPrinted>2025-02-10T07:57:00Z</cp:lastPrinted>
  <dcterms:modified xsi:type="dcterms:W3CDTF">2025-02-20T03:02:42Z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2052-11.8.2.12251</vt:lpwstr>
  </property>
  <property fmtid="{D5CDD505-2E9C-101B-9397-08002B2CF9AE}" pid="3" name="ICV">
    <vt:lpwstr>A64A814C2A084D008F23EC64A3518F2F_11</vt:lpwstr>
  </property>
  <property fmtid="{D5CDD505-2E9C-101B-9397-08002B2CF9AE}" pid="4" name="KSOTemplateDocerSaveRecord">
    <vt:lpwstr>eyJoZGlkIjoiOGI1YmM3NWNhOTg0ZDBkNGYzNjRjMzkyNGYzMTNhODMiLCJ1c2VySWQiOiIxMzgzMjM4NzM4In0=</vt:lpwstr>
  </property>
</Properties>
</file>