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eastAsia="仿宋_GB2312"/>
          <w:sz w:val="32"/>
          <w:szCs w:val="32"/>
          <w:lang w:val="en-US" w:eastAsia="zh-CN"/>
        </w:rPr>
      </w:pPr>
      <w:r>
        <w:rPr>
          <w:rFonts w:hint="eastAsia"/>
          <w:sz w:val="32"/>
          <w:szCs w:val="32"/>
        </w:rPr>
        <w:t>附件</w:t>
      </w:r>
      <w:r>
        <w:rPr>
          <w:rFonts w:hint="eastAsia"/>
          <w:sz w:val="32"/>
          <w:szCs w:val="32"/>
          <w:lang w:val="en-US" w:eastAsia="zh-CN"/>
        </w:rPr>
        <w:t>3</w:t>
      </w:r>
    </w:p>
    <w:p>
      <w:pPr>
        <w:spacing w:line="360" w:lineRule="auto"/>
        <w:ind w:firstLine="480" w:firstLineChars="150"/>
        <w:rPr>
          <w:sz w:val="32"/>
          <w:szCs w:val="32"/>
        </w:rPr>
      </w:pPr>
    </w:p>
    <w:p>
      <w:pPr>
        <w:spacing w:line="360" w:lineRule="auto"/>
        <w:ind w:firstLine="480" w:firstLineChars="150"/>
        <w:rPr>
          <w:sz w:val="32"/>
          <w:szCs w:val="32"/>
        </w:rPr>
      </w:pPr>
    </w:p>
    <w:p>
      <w:pPr>
        <w:spacing w:line="360" w:lineRule="auto"/>
        <w:jc w:val="center"/>
        <w:rPr>
          <w:sz w:val="44"/>
          <w:szCs w:val="44"/>
        </w:rPr>
      </w:pPr>
      <w:r>
        <w:rPr>
          <w:rFonts w:hint="eastAsia"/>
          <w:sz w:val="44"/>
          <w:szCs w:val="44"/>
          <w:lang w:eastAsia="zh-CN"/>
        </w:rPr>
        <w:t>部门</w:t>
      </w:r>
      <w:r>
        <w:rPr>
          <w:rFonts w:hint="eastAsia"/>
          <w:sz w:val="44"/>
          <w:szCs w:val="44"/>
        </w:rPr>
        <w:t>整体支出绩效自评报告</w:t>
      </w:r>
    </w:p>
    <w:p>
      <w:pPr>
        <w:spacing w:line="360" w:lineRule="auto"/>
        <w:ind w:firstLine="450" w:firstLineChars="150"/>
        <w:rPr>
          <w:sz w:val="30"/>
          <w:szCs w:val="30"/>
        </w:rPr>
      </w:pPr>
      <w:r>
        <w:rPr>
          <w:rFonts w:hint="eastAsia"/>
          <w:sz w:val="30"/>
          <w:szCs w:val="30"/>
        </w:rPr>
        <w:t xml:space="preserve">    </w:t>
      </w:r>
    </w:p>
    <w:p>
      <w:pPr>
        <w:spacing w:line="360" w:lineRule="auto"/>
        <w:ind w:firstLine="450" w:firstLineChars="150"/>
        <w:rPr>
          <w:sz w:val="30"/>
          <w:szCs w:val="30"/>
        </w:rPr>
      </w:pPr>
    </w:p>
    <w:p>
      <w:pPr>
        <w:pStyle w:val="2"/>
        <w:rPr>
          <w:sz w:val="30"/>
          <w:szCs w:val="30"/>
        </w:rPr>
      </w:pPr>
    </w:p>
    <w:p/>
    <w:p>
      <w:pPr>
        <w:spacing w:line="360" w:lineRule="auto"/>
        <w:rPr>
          <w:sz w:val="32"/>
          <w:szCs w:val="32"/>
        </w:rPr>
      </w:pPr>
    </w:p>
    <w:p>
      <w:pPr>
        <w:spacing w:line="360" w:lineRule="auto"/>
        <w:rPr>
          <w:rFonts w:hint="eastAsia"/>
          <w:sz w:val="32"/>
          <w:szCs w:val="32"/>
          <w:lang w:val="en-US" w:eastAsia="zh-CN"/>
        </w:rPr>
      </w:pPr>
      <w:r>
        <w:rPr>
          <w:rFonts w:hint="eastAsia"/>
          <w:sz w:val="32"/>
          <w:szCs w:val="32"/>
        </w:rPr>
        <w:t xml:space="preserve"> </w:t>
      </w:r>
      <w:r>
        <w:rPr>
          <w:rFonts w:hint="eastAsia"/>
          <w:sz w:val="32"/>
          <w:szCs w:val="32"/>
          <w:lang w:val="en-US" w:eastAsia="zh-CN"/>
        </w:rPr>
        <w:t xml:space="preserve">  </w:t>
      </w:r>
    </w:p>
    <w:p>
      <w:pPr>
        <w:spacing w:line="360" w:lineRule="auto"/>
        <w:rPr>
          <w:rFonts w:hint="eastAsia"/>
          <w:sz w:val="32"/>
          <w:szCs w:val="32"/>
          <w:lang w:val="en-US" w:eastAsia="zh-CN"/>
        </w:rPr>
      </w:pPr>
    </w:p>
    <w:p>
      <w:pPr>
        <w:spacing w:line="360" w:lineRule="auto"/>
        <w:ind w:firstLine="640" w:firstLineChars="200"/>
        <w:rPr>
          <w:rFonts w:hint="eastAsia"/>
          <w:sz w:val="32"/>
          <w:szCs w:val="32"/>
        </w:rPr>
      </w:pPr>
    </w:p>
    <w:p>
      <w:pPr>
        <w:spacing w:line="360" w:lineRule="auto"/>
        <w:ind w:firstLine="640" w:firstLineChars="200"/>
        <w:rPr>
          <w:rFonts w:hint="eastAsia"/>
          <w:sz w:val="32"/>
          <w:szCs w:val="32"/>
        </w:rPr>
      </w:pPr>
    </w:p>
    <w:p>
      <w:pPr>
        <w:spacing w:line="360" w:lineRule="auto"/>
        <w:ind w:firstLine="640" w:firstLineChars="200"/>
        <w:rPr>
          <w:rFonts w:hint="eastAsia"/>
          <w:sz w:val="32"/>
          <w:szCs w:val="32"/>
        </w:rPr>
      </w:pPr>
    </w:p>
    <w:p>
      <w:pPr>
        <w:spacing w:line="360" w:lineRule="auto"/>
        <w:ind w:firstLine="640" w:firstLineChars="200"/>
        <w:rPr>
          <w:rFonts w:hint="eastAsia" w:eastAsia="仿宋_GB2312"/>
          <w:sz w:val="32"/>
          <w:szCs w:val="32"/>
          <w:lang w:eastAsia="zh-CN"/>
        </w:rPr>
      </w:pPr>
      <w:r>
        <w:rPr>
          <w:rFonts w:hint="eastAsia"/>
          <w:sz w:val="32"/>
          <w:szCs w:val="32"/>
        </w:rPr>
        <w:t>部门名称：</w:t>
      </w:r>
      <w:r>
        <w:rPr>
          <w:rFonts w:hint="eastAsia"/>
          <w:sz w:val="32"/>
          <w:szCs w:val="32"/>
          <w:lang w:val="en-US" w:eastAsia="zh-CN"/>
        </w:rPr>
        <w:t>惠州</w:t>
      </w:r>
      <w:r>
        <w:rPr>
          <w:rFonts w:hint="eastAsia"/>
          <w:sz w:val="32"/>
          <w:szCs w:val="32"/>
          <w:lang w:eastAsia="zh-CN"/>
        </w:rPr>
        <w:t>大亚湾</w:t>
      </w:r>
      <w:r>
        <w:rPr>
          <w:rFonts w:hint="eastAsia"/>
          <w:sz w:val="32"/>
          <w:szCs w:val="32"/>
          <w:lang w:val="en-US" w:eastAsia="zh-CN"/>
        </w:rPr>
        <w:t>开发</w:t>
      </w:r>
      <w:r>
        <w:rPr>
          <w:rFonts w:hint="eastAsia"/>
          <w:sz w:val="32"/>
          <w:szCs w:val="32"/>
          <w:lang w:eastAsia="zh-CN"/>
        </w:rPr>
        <w:t>区公共就业（人才）服务中心（</w:t>
      </w:r>
      <w:r>
        <w:rPr>
          <w:rFonts w:hint="eastAsia"/>
          <w:sz w:val="32"/>
          <w:szCs w:val="32"/>
          <w:lang w:val="en-US" w:eastAsia="zh-CN"/>
        </w:rPr>
        <w:t>公章</w:t>
      </w:r>
      <w:r>
        <w:rPr>
          <w:rFonts w:hint="eastAsia"/>
          <w:sz w:val="32"/>
          <w:szCs w:val="32"/>
          <w:lang w:eastAsia="zh-CN"/>
        </w:rPr>
        <w:t>）</w:t>
      </w:r>
    </w:p>
    <w:p>
      <w:pPr>
        <w:spacing w:line="360" w:lineRule="auto"/>
        <w:rPr>
          <w:rFonts w:hint="eastAsia" w:eastAsia="仿宋_GB2312"/>
          <w:sz w:val="32"/>
          <w:szCs w:val="32"/>
          <w:lang w:val="en-US" w:eastAsia="zh-CN"/>
        </w:rPr>
      </w:pPr>
      <w:r>
        <w:rPr>
          <w:rFonts w:hint="eastAsia"/>
          <w:sz w:val="32"/>
          <w:szCs w:val="32"/>
        </w:rPr>
        <w:t xml:space="preserve"> </w:t>
      </w:r>
      <w:r>
        <w:rPr>
          <w:rFonts w:hint="eastAsia"/>
          <w:sz w:val="32"/>
          <w:szCs w:val="32"/>
          <w:lang w:val="en-US" w:eastAsia="zh-CN"/>
        </w:rPr>
        <w:t xml:space="preserve">   </w:t>
      </w:r>
      <w:r>
        <w:rPr>
          <w:rFonts w:hint="eastAsia"/>
          <w:sz w:val="32"/>
          <w:szCs w:val="32"/>
        </w:rPr>
        <w:t>填报人：</w:t>
      </w:r>
      <w:r>
        <w:rPr>
          <w:rFonts w:hint="eastAsia"/>
          <w:sz w:val="32"/>
          <w:szCs w:val="32"/>
          <w:lang w:eastAsia="zh-CN"/>
        </w:rPr>
        <w:t>陈小浓</w:t>
      </w:r>
    </w:p>
    <w:p>
      <w:pPr>
        <w:spacing w:line="360" w:lineRule="auto"/>
        <w:rPr>
          <w:rFonts w:hint="default" w:eastAsia="仿宋_GB2312"/>
          <w:sz w:val="32"/>
          <w:szCs w:val="32"/>
          <w:lang w:val="en-US" w:eastAsia="zh-CN"/>
        </w:rPr>
      </w:pPr>
      <w:r>
        <w:rPr>
          <w:rFonts w:hint="eastAsia"/>
          <w:sz w:val="32"/>
          <w:szCs w:val="32"/>
        </w:rPr>
        <w:t xml:space="preserve"> </w:t>
      </w:r>
      <w:r>
        <w:rPr>
          <w:rFonts w:hint="eastAsia"/>
          <w:sz w:val="32"/>
          <w:szCs w:val="32"/>
          <w:lang w:val="en-US" w:eastAsia="zh-CN"/>
        </w:rPr>
        <w:t xml:space="preserve">   </w:t>
      </w:r>
      <w:r>
        <w:rPr>
          <w:rFonts w:hint="eastAsia"/>
          <w:sz w:val="32"/>
          <w:szCs w:val="32"/>
        </w:rPr>
        <w:t>联系电话：</w:t>
      </w:r>
      <w:r>
        <w:rPr>
          <w:rFonts w:hint="eastAsia"/>
          <w:sz w:val="32"/>
          <w:szCs w:val="32"/>
          <w:lang w:val="en-US" w:eastAsia="zh-CN"/>
        </w:rPr>
        <w:t>0752-</w:t>
      </w:r>
      <w:r>
        <w:rPr>
          <w:rFonts w:hint="eastAsia"/>
          <w:sz w:val="32"/>
          <w:szCs w:val="32"/>
        </w:rPr>
        <w:t>556</w:t>
      </w:r>
      <w:r>
        <w:rPr>
          <w:rFonts w:hint="eastAsia"/>
          <w:sz w:val="32"/>
          <w:szCs w:val="32"/>
          <w:lang w:val="en-US" w:eastAsia="zh-CN"/>
        </w:rPr>
        <w:t>2322</w:t>
      </w:r>
    </w:p>
    <w:p>
      <w:pPr>
        <w:spacing w:line="360" w:lineRule="auto"/>
        <w:rPr>
          <w:sz w:val="32"/>
          <w:szCs w:val="32"/>
        </w:rPr>
      </w:pPr>
      <w:r>
        <w:rPr>
          <w:rFonts w:hint="eastAsia"/>
          <w:sz w:val="32"/>
          <w:szCs w:val="32"/>
        </w:rPr>
        <w:t xml:space="preserve"> </w:t>
      </w:r>
      <w:r>
        <w:rPr>
          <w:rFonts w:hint="eastAsia"/>
          <w:sz w:val="32"/>
          <w:szCs w:val="32"/>
          <w:lang w:val="en-US" w:eastAsia="zh-CN"/>
        </w:rPr>
        <w:t xml:space="preserve">   </w:t>
      </w:r>
      <w:r>
        <w:rPr>
          <w:rFonts w:hint="eastAsia"/>
          <w:sz w:val="32"/>
          <w:szCs w:val="32"/>
        </w:rPr>
        <w:t>填报日期：202</w:t>
      </w:r>
      <w:r>
        <w:rPr>
          <w:rFonts w:hint="eastAsia"/>
          <w:sz w:val="32"/>
          <w:szCs w:val="32"/>
          <w:lang w:val="en-US" w:eastAsia="zh-CN"/>
        </w:rPr>
        <w:t>5</w:t>
      </w:r>
      <w:r>
        <w:rPr>
          <w:rFonts w:hint="eastAsia"/>
          <w:sz w:val="32"/>
          <w:szCs w:val="32"/>
        </w:rPr>
        <w:t>年</w:t>
      </w:r>
      <w:r>
        <w:rPr>
          <w:rFonts w:hint="eastAsia"/>
          <w:sz w:val="32"/>
          <w:szCs w:val="32"/>
          <w:lang w:val="en-US" w:eastAsia="zh-CN"/>
        </w:rPr>
        <w:t>5</w:t>
      </w:r>
      <w:r>
        <w:rPr>
          <w:rFonts w:hint="eastAsia"/>
          <w:sz w:val="32"/>
          <w:szCs w:val="32"/>
        </w:rPr>
        <w:t>月</w:t>
      </w:r>
      <w:r>
        <w:rPr>
          <w:rFonts w:hint="eastAsia"/>
          <w:sz w:val="32"/>
          <w:szCs w:val="32"/>
          <w:lang w:val="en-US" w:eastAsia="zh-CN"/>
        </w:rPr>
        <w:t>13</w:t>
      </w:r>
      <w:r>
        <w:rPr>
          <w:rFonts w:hint="eastAsia"/>
          <w:sz w:val="32"/>
          <w:szCs w:val="32"/>
        </w:rPr>
        <w:t>日</w:t>
      </w:r>
    </w:p>
    <w:p>
      <w:pPr>
        <w:spacing w:line="360" w:lineRule="auto"/>
        <w:ind w:firstLine="640" w:firstLineChars="200"/>
        <w:rPr>
          <w:sz w:val="32"/>
          <w:szCs w:val="32"/>
        </w:rPr>
      </w:pPr>
    </w:p>
    <w:p>
      <w:pPr>
        <w:snapToGrid w:val="0"/>
        <w:spacing w:line="360" w:lineRule="auto"/>
        <w:rPr>
          <w:rFonts w:ascii="黑体" w:hAnsi="黑体" w:eastAsia="黑体" w:cs="黑体"/>
          <w:bCs/>
          <w:sz w:val="32"/>
          <w:szCs w:val="32"/>
        </w:rPr>
      </w:pP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hint="eastAsia" w:ascii="黑体" w:hAnsi="黑体" w:eastAsia="黑体" w:cs="黑体"/>
          <w:bCs/>
          <w:sz w:val="32"/>
          <w:szCs w:val="32"/>
        </w:rPr>
        <w:sectPr>
          <w:pgSz w:w="11906" w:h="16838"/>
          <w:pgMar w:top="2098" w:right="1474" w:bottom="1984" w:left="1587"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p>
      <w:pPr>
        <w:pStyle w:val="17"/>
        <w:keepNext w:val="0"/>
        <w:keepLines w:val="0"/>
        <w:pageBreakBefore w:val="0"/>
        <w:widowControl w:val="0"/>
        <w:kinsoku/>
        <w:wordWrap/>
        <w:overflowPunct/>
        <w:topLinePunct w:val="0"/>
        <w:autoSpaceDE/>
        <w:autoSpaceDN/>
        <w:bidi w:val="0"/>
        <w:adjustRightInd/>
        <w:spacing w:line="560" w:lineRule="exact"/>
        <w:textAlignment w:val="auto"/>
        <w:rPr>
          <w:rFonts w:hint="eastAsia" w:ascii="黑体" w:hAnsi="黑体" w:eastAsia="黑体" w:cs="黑体"/>
          <w:bCs/>
          <w:sz w:val="32"/>
          <w:szCs w:val="32"/>
        </w:rPr>
      </w:pPr>
      <w:r>
        <w:rPr>
          <w:rFonts w:hint="eastAsia" w:ascii="仿宋_GB2312" w:eastAsia="仿宋_GB2312"/>
          <w:sz w:val="32"/>
          <w:szCs w:val="32"/>
          <w:lang w:val="en-US" w:eastAsia="zh-CN"/>
        </w:rPr>
        <w:t xml:space="preserve"> </w:t>
      </w:r>
      <w:r>
        <w:rPr>
          <w:rFonts w:hint="eastAsia" w:ascii="黑体" w:hAnsi="黑体" w:eastAsia="黑体" w:cs="黑体"/>
          <w:bCs/>
          <w:sz w:val="32"/>
          <w:szCs w:val="32"/>
        </w:rPr>
        <w:t>一、部门基本情况</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rPr>
      </w:pPr>
      <w:r>
        <w:rPr>
          <w:rFonts w:hint="eastAsia" w:ascii="仿宋_GB2312" w:hAnsi="Adobe 楷体 Std R" w:eastAsia="仿宋_GB2312"/>
          <w:color w:val="000000"/>
          <w:sz w:val="32"/>
          <w:szCs w:val="32"/>
        </w:rPr>
        <w:t>（一）部门职能</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Adobe 楷体 Std R" w:eastAsia="仿宋_GB2312" w:cs="Times New Roman"/>
          <w:color w:val="000000"/>
          <w:sz w:val="32"/>
          <w:szCs w:val="32"/>
          <w:lang w:val="en-US" w:eastAsia="zh-CN"/>
        </w:rPr>
      </w:pPr>
      <w:r>
        <w:rPr>
          <w:rFonts w:hint="eastAsia" w:ascii="仿宋_GB2312" w:hAnsi="Adobe 楷体 Std R" w:eastAsia="仿宋_GB2312" w:cs="Times New Roman"/>
          <w:color w:val="000000"/>
          <w:sz w:val="32"/>
          <w:szCs w:val="32"/>
          <w:lang w:val="en-US" w:eastAsia="zh-CN"/>
        </w:rPr>
        <w:t>1.部门职能情况</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rPr>
      </w:pPr>
      <w:r>
        <w:rPr>
          <w:rFonts w:hint="eastAsia" w:ascii="仿宋_GB2312" w:hAnsi="Adobe 楷体 Std R" w:eastAsia="仿宋_GB2312"/>
          <w:color w:val="000000"/>
          <w:sz w:val="32"/>
          <w:szCs w:val="32"/>
          <w:lang w:val="en-US" w:eastAsia="zh-CN"/>
        </w:rPr>
        <w:t>（1）</w:t>
      </w:r>
      <w:r>
        <w:rPr>
          <w:rFonts w:hint="eastAsia" w:ascii="仿宋_GB2312" w:hAnsi="Adobe 楷体 Std R" w:eastAsia="仿宋_GB2312"/>
          <w:color w:val="000000"/>
          <w:sz w:val="32"/>
          <w:szCs w:val="32"/>
        </w:rPr>
        <w:t>实施就业政策和人才政策，负责对全区城乡所有劳动者提供公益性就业服务;</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rPr>
      </w:pPr>
      <w:r>
        <w:rPr>
          <w:rFonts w:hint="eastAsia" w:ascii="仿宋_GB2312" w:hAnsi="Adobe 楷体 Std R" w:eastAsia="仿宋_GB2312"/>
          <w:color w:val="000000"/>
          <w:sz w:val="32"/>
          <w:szCs w:val="32"/>
          <w:lang w:val="en-US" w:eastAsia="zh-CN"/>
        </w:rPr>
        <w:t>（2）</w:t>
      </w:r>
      <w:r>
        <w:rPr>
          <w:rFonts w:hint="eastAsia" w:ascii="仿宋_GB2312" w:hAnsi="Adobe 楷体 Std R" w:eastAsia="仿宋_GB2312"/>
          <w:color w:val="000000"/>
          <w:sz w:val="32"/>
          <w:szCs w:val="32"/>
        </w:rPr>
        <w:t>负责对全区就业困难群体提供就业援助;</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rPr>
      </w:pPr>
      <w:r>
        <w:rPr>
          <w:rFonts w:hint="eastAsia" w:ascii="仿宋_GB2312" w:hAnsi="Adobe 楷体 Std R" w:eastAsia="仿宋_GB2312"/>
          <w:color w:val="000000"/>
          <w:sz w:val="32"/>
          <w:szCs w:val="32"/>
          <w:lang w:eastAsia="zh-CN"/>
        </w:rPr>
        <w:t>（</w:t>
      </w:r>
      <w:r>
        <w:rPr>
          <w:rFonts w:hint="eastAsia" w:ascii="仿宋_GB2312" w:hAnsi="Adobe 楷体 Std R" w:eastAsia="仿宋_GB2312"/>
          <w:color w:val="000000"/>
          <w:sz w:val="32"/>
          <w:szCs w:val="32"/>
          <w:lang w:val="en-US" w:eastAsia="zh-CN"/>
        </w:rPr>
        <w:t>3</w:t>
      </w:r>
      <w:r>
        <w:rPr>
          <w:rFonts w:hint="eastAsia" w:ascii="仿宋_GB2312" w:hAnsi="Adobe 楷体 Std R" w:eastAsia="仿宋_GB2312"/>
          <w:color w:val="000000"/>
          <w:sz w:val="32"/>
          <w:szCs w:val="32"/>
          <w:lang w:eastAsia="zh-CN"/>
        </w:rPr>
        <w:t>）</w:t>
      </w:r>
      <w:r>
        <w:rPr>
          <w:rFonts w:hint="eastAsia" w:ascii="仿宋_GB2312" w:hAnsi="Adobe 楷体 Std R" w:eastAsia="仿宋_GB2312"/>
          <w:color w:val="000000"/>
          <w:sz w:val="32"/>
          <w:szCs w:val="32"/>
        </w:rPr>
        <w:t>负责对全区用人单位用人提供招聘服务;</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rPr>
      </w:pPr>
      <w:r>
        <w:rPr>
          <w:rFonts w:hint="eastAsia" w:ascii="仿宋_GB2312" w:hAnsi="Adobe 楷体 Std R" w:eastAsia="仿宋_GB2312"/>
          <w:color w:val="000000"/>
          <w:sz w:val="32"/>
          <w:szCs w:val="32"/>
          <w:lang w:val="en-US" w:eastAsia="zh-CN"/>
        </w:rPr>
        <w:t>（4）</w:t>
      </w:r>
      <w:r>
        <w:rPr>
          <w:rFonts w:hint="eastAsia" w:ascii="仿宋_GB2312" w:hAnsi="Adobe 楷体 Std R" w:eastAsia="仿宋_GB2312"/>
          <w:color w:val="000000"/>
          <w:sz w:val="32"/>
          <w:szCs w:val="32"/>
        </w:rPr>
        <w:t>负责对就业与失业进行社会化管理;</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rPr>
      </w:pPr>
      <w:r>
        <w:rPr>
          <w:rFonts w:hint="eastAsia" w:ascii="仿宋_GB2312" w:hAnsi="Adobe 楷体 Std R" w:eastAsia="仿宋_GB2312"/>
          <w:color w:val="000000"/>
          <w:sz w:val="32"/>
          <w:szCs w:val="32"/>
          <w:lang w:val="en-US" w:eastAsia="zh-CN"/>
        </w:rPr>
        <w:t>（5）</w:t>
      </w:r>
      <w:r>
        <w:rPr>
          <w:rFonts w:hint="eastAsia" w:ascii="仿宋_GB2312" w:hAnsi="Adobe 楷体 Std R" w:eastAsia="仿宋_GB2312"/>
          <w:color w:val="000000"/>
          <w:sz w:val="32"/>
          <w:szCs w:val="32"/>
        </w:rPr>
        <w:t>负责对全区用人单位和劳动者提供基本人力资源社会保障事务代理;</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rPr>
      </w:pPr>
      <w:r>
        <w:rPr>
          <w:rFonts w:hint="eastAsia" w:ascii="仿宋_GB2312" w:hAnsi="Adobe 楷体 Std R" w:eastAsia="仿宋_GB2312"/>
          <w:color w:val="000000"/>
          <w:sz w:val="32"/>
          <w:szCs w:val="32"/>
          <w:lang w:val="en-US" w:eastAsia="zh-CN"/>
        </w:rPr>
        <w:t>（6）</w:t>
      </w:r>
      <w:r>
        <w:rPr>
          <w:rFonts w:hint="eastAsia" w:ascii="仿宋_GB2312" w:hAnsi="Adobe 楷体 Std R" w:eastAsia="仿宋_GB2312"/>
          <w:color w:val="000000"/>
          <w:sz w:val="32"/>
          <w:szCs w:val="32"/>
        </w:rPr>
        <w:t>负责“三支一扶”高校毕业生管理工作;</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rPr>
      </w:pPr>
      <w:r>
        <w:rPr>
          <w:rFonts w:hint="eastAsia" w:ascii="仿宋_GB2312" w:hAnsi="Adobe 楷体 Std R" w:eastAsia="仿宋_GB2312"/>
          <w:color w:val="000000"/>
          <w:sz w:val="32"/>
          <w:szCs w:val="32"/>
          <w:lang w:val="en-US" w:eastAsia="zh-CN"/>
        </w:rPr>
        <w:t>（7）</w:t>
      </w:r>
      <w:r>
        <w:rPr>
          <w:rFonts w:hint="eastAsia" w:ascii="仿宋_GB2312" w:hAnsi="Adobe 楷体 Std R" w:eastAsia="仿宋_GB2312"/>
          <w:color w:val="000000"/>
          <w:sz w:val="32"/>
          <w:szCs w:val="32"/>
        </w:rPr>
        <w:t>开展各类职业技能培训;</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rPr>
      </w:pPr>
      <w:r>
        <w:rPr>
          <w:rFonts w:hint="eastAsia" w:ascii="仿宋_GB2312" w:hAnsi="Adobe 楷体 Std R" w:eastAsia="仿宋_GB2312"/>
          <w:color w:val="000000"/>
          <w:sz w:val="32"/>
          <w:szCs w:val="32"/>
          <w:lang w:val="en-US" w:eastAsia="zh-CN"/>
        </w:rPr>
        <w:t>（8）</w:t>
      </w:r>
      <w:r>
        <w:rPr>
          <w:rFonts w:hint="eastAsia" w:ascii="仿宋_GB2312" w:hAnsi="Adobe 楷体 Std R" w:eastAsia="仿宋_GB2312"/>
          <w:color w:val="000000"/>
          <w:sz w:val="32"/>
          <w:szCs w:val="32"/>
        </w:rPr>
        <w:t>承担相关的职业技能鉴定工作;</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rPr>
      </w:pPr>
      <w:r>
        <w:rPr>
          <w:rFonts w:hint="eastAsia" w:ascii="仿宋_GB2312" w:hAnsi="Adobe 楷体 Std R" w:eastAsia="仿宋_GB2312"/>
          <w:color w:val="000000"/>
          <w:sz w:val="32"/>
          <w:szCs w:val="32"/>
          <w:lang w:val="en-US" w:eastAsia="zh-CN"/>
        </w:rPr>
        <w:t>（9）</w:t>
      </w:r>
      <w:r>
        <w:rPr>
          <w:rFonts w:hint="eastAsia" w:ascii="仿宋_GB2312" w:hAnsi="Adobe 楷体 Std R" w:eastAsia="仿宋_GB2312"/>
          <w:color w:val="000000"/>
          <w:sz w:val="32"/>
          <w:szCs w:val="32"/>
        </w:rPr>
        <w:t>承办上级部门交待的其他任务。</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s="Times New Roman"/>
          <w:color w:val="000000"/>
          <w:sz w:val="32"/>
          <w:szCs w:val="32"/>
          <w:lang w:eastAsia="zh-CN"/>
        </w:rPr>
      </w:pPr>
      <w:r>
        <w:rPr>
          <w:rFonts w:hint="eastAsia" w:ascii="仿宋_GB2312" w:hAnsi="Adobe 楷体 Std R" w:eastAsia="仿宋_GB2312" w:cs="Times New Roman"/>
          <w:color w:val="000000"/>
          <w:sz w:val="32"/>
          <w:szCs w:val="32"/>
          <w:lang w:val="en-US" w:eastAsia="zh-CN"/>
        </w:rPr>
        <w:t>2.</w:t>
      </w:r>
      <w:r>
        <w:rPr>
          <w:rFonts w:hint="eastAsia" w:ascii="仿宋_GB2312" w:hAnsi="Adobe 楷体 Std R" w:eastAsia="仿宋_GB2312" w:cs="Times New Roman"/>
          <w:color w:val="000000"/>
          <w:sz w:val="32"/>
          <w:szCs w:val="32"/>
          <w:lang w:eastAsia="zh-CN"/>
        </w:rPr>
        <w:t>部门预算单位及人员构成</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rPr>
      </w:pPr>
      <w:r>
        <w:rPr>
          <w:rFonts w:hint="eastAsia" w:ascii="仿宋_GB2312" w:hAnsi="Adobe 楷体 Std R" w:eastAsia="仿宋_GB2312" w:cs="Times New Roman"/>
          <w:color w:val="000000"/>
          <w:sz w:val="32"/>
          <w:szCs w:val="32"/>
          <w:lang w:eastAsia="zh-CN"/>
        </w:rPr>
        <w:t>截至202</w:t>
      </w:r>
      <w:r>
        <w:rPr>
          <w:rFonts w:hint="eastAsia" w:ascii="仿宋_GB2312" w:hAnsi="Adobe 楷体 Std R" w:eastAsia="仿宋_GB2312" w:cs="Times New Roman"/>
          <w:color w:val="000000"/>
          <w:sz w:val="32"/>
          <w:szCs w:val="32"/>
          <w:lang w:val="en-US" w:eastAsia="zh-CN"/>
        </w:rPr>
        <w:t>4</w:t>
      </w:r>
      <w:r>
        <w:rPr>
          <w:rFonts w:hint="eastAsia" w:ascii="仿宋_GB2312" w:hAnsi="Adobe 楷体 Std R" w:eastAsia="仿宋_GB2312" w:cs="Times New Roman"/>
          <w:color w:val="000000"/>
          <w:sz w:val="32"/>
          <w:szCs w:val="32"/>
          <w:lang w:eastAsia="zh-CN"/>
        </w:rPr>
        <w:t>年1</w:t>
      </w:r>
      <w:r>
        <w:rPr>
          <w:rFonts w:hint="eastAsia" w:ascii="仿宋_GB2312" w:hAnsi="Adobe 楷体 Std R" w:eastAsia="仿宋_GB2312" w:cs="Times New Roman"/>
          <w:color w:val="000000"/>
          <w:sz w:val="32"/>
          <w:szCs w:val="32"/>
          <w:lang w:val="en-US" w:eastAsia="zh-CN"/>
        </w:rPr>
        <w:t>1</w:t>
      </w:r>
      <w:r>
        <w:rPr>
          <w:rFonts w:hint="eastAsia" w:ascii="仿宋_GB2312" w:hAnsi="Adobe 楷体 Std R" w:eastAsia="仿宋_GB2312" w:cs="Times New Roman"/>
          <w:color w:val="000000"/>
          <w:sz w:val="32"/>
          <w:szCs w:val="32"/>
          <w:lang w:eastAsia="zh-CN"/>
        </w:rPr>
        <w:t>月</w:t>
      </w:r>
      <w:r>
        <w:rPr>
          <w:rFonts w:hint="eastAsia" w:ascii="仿宋_GB2312" w:hAnsi="Adobe 楷体 Std R" w:eastAsia="仿宋_GB2312" w:cs="Times New Roman"/>
          <w:color w:val="000000"/>
          <w:sz w:val="32"/>
          <w:szCs w:val="32"/>
          <w:lang w:val="en-US" w:eastAsia="zh-CN"/>
        </w:rPr>
        <w:t>14日</w:t>
      </w:r>
      <w:r>
        <w:rPr>
          <w:rFonts w:hint="eastAsia" w:ascii="仿宋_GB2312" w:hAnsi="Adobe 楷体 Std R" w:eastAsia="仿宋_GB2312" w:cs="Times New Roman"/>
          <w:color w:val="000000"/>
          <w:sz w:val="32"/>
          <w:szCs w:val="32"/>
          <w:lang w:eastAsia="zh-CN"/>
        </w:rPr>
        <w:t>,本单位有在编人员23名，在编21人，其中管理岗八级2名、管理岗九级9名、专业技术岗十一级1名、专业技术岗十二级3名、工勤技能岗四级6名。空编2名；退休7人；核定协管员指标6名，在岗6人。</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rPr>
      </w:pPr>
      <w:r>
        <w:rPr>
          <w:rFonts w:hint="eastAsia" w:ascii="仿宋_GB2312" w:hAnsi="Adobe 楷体 Std R" w:eastAsia="仿宋_GB2312"/>
          <w:color w:val="000000"/>
          <w:sz w:val="32"/>
          <w:szCs w:val="32"/>
        </w:rPr>
        <w:t>（二）年度总体工作和重点工作任务</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rPr>
      </w:pPr>
      <w:r>
        <w:rPr>
          <w:rFonts w:hint="eastAsia" w:ascii="仿宋_GB2312" w:hAnsi="Adobe 楷体 Std R" w:eastAsia="仿宋_GB2312"/>
          <w:color w:val="000000"/>
          <w:sz w:val="32"/>
          <w:szCs w:val="32"/>
          <w:lang w:val="en-US" w:eastAsia="zh-CN"/>
        </w:rPr>
        <w:t>1.</w:t>
      </w:r>
      <w:r>
        <w:rPr>
          <w:rFonts w:hint="eastAsia" w:ascii="仿宋_GB2312" w:hAnsi="Adobe 楷体 Std R" w:eastAsia="仿宋_GB2312"/>
          <w:color w:val="000000"/>
          <w:sz w:val="32"/>
          <w:szCs w:val="32"/>
        </w:rPr>
        <w:t>年度总体工作</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Adobe 楷体 Std R" w:eastAsia="仿宋_GB2312"/>
          <w:color w:val="000000"/>
          <w:sz w:val="32"/>
          <w:szCs w:val="32"/>
          <w:lang w:val="en-US" w:eastAsia="zh-CN"/>
        </w:rPr>
      </w:pPr>
      <w:r>
        <w:rPr>
          <w:rFonts w:hint="default" w:ascii="仿宋_GB2312" w:hAnsi="Adobe 楷体 Std R" w:eastAsia="仿宋_GB2312"/>
          <w:color w:val="000000"/>
          <w:sz w:val="32"/>
          <w:szCs w:val="32"/>
          <w:lang w:val="en-US" w:eastAsia="zh-CN"/>
        </w:rPr>
        <w:t>202</w:t>
      </w:r>
      <w:r>
        <w:rPr>
          <w:rFonts w:hint="eastAsia" w:ascii="仿宋_GB2312" w:hAnsi="Adobe 楷体 Std R" w:eastAsia="仿宋_GB2312"/>
          <w:color w:val="000000"/>
          <w:sz w:val="32"/>
          <w:szCs w:val="32"/>
          <w:lang w:val="en-US" w:eastAsia="zh-CN"/>
        </w:rPr>
        <w:t>4</w:t>
      </w:r>
      <w:r>
        <w:rPr>
          <w:rFonts w:hint="default" w:ascii="仿宋_GB2312" w:hAnsi="Adobe 楷体 Std R" w:eastAsia="仿宋_GB2312"/>
          <w:color w:val="000000"/>
          <w:sz w:val="32"/>
          <w:szCs w:val="32"/>
          <w:lang w:val="en-US" w:eastAsia="zh-CN"/>
        </w:rPr>
        <w:t>年，</w:t>
      </w:r>
      <w:r>
        <w:rPr>
          <w:rFonts w:hint="eastAsia" w:ascii="仿宋_GB2312" w:hAnsi="Adobe 楷体 Std R" w:eastAsia="仿宋_GB2312"/>
          <w:color w:val="000000"/>
          <w:sz w:val="32"/>
          <w:szCs w:val="32"/>
          <w:lang w:val="en-US" w:eastAsia="zh-CN"/>
        </w:rPr>
        <w:t>本</w:t>
      </w:r>
      <w:r>
        <w:rPr>
          <w:rFonts w:hint="default" w:ascii="仿宋_GB2312" w:hAnsi="Adobe 楷体 Std R" w:eastAsia="仿宋_GB2312"/>
          <w:color w:val="000000"/>
          <w:sz w:val="32"/>
          <w:szCs w:val="32"/>
          <w:lang w:val="en-US" w:eastAsia="zh-CN"/>
        </w:rPr>
        <w:t>中心</w:t>
      </w:r>
      <w:r>
        <w:rPr>
          <w:rFonts w:hint="eastAsia" w:ascii="仿宋_GB2312" w:hAnsi="Adobe 楷体 Std R" w:eastAsia="仿宋_GB2312"/>
          <w:color w:val="000000"/>
          <w:sz w:val="32"/>
          <w:szCs w:val="32"/>
          <w:lang w:val="en-US" w:eastAsia="zh-CN"/>
        </w:rPr>
        <w:t>按照省、市具体工作部署，</w:t>
      </w:r>
      <w:r>
        <w:rPr>
          <w:rFonts w:hint="default" w:ascii="仿宋_GB2312" w:hAnsi="Adobe 楷体 Std R" w:eastAsia="仿宋_GB2312"/>
          <w:color w:val="000000"/>
          <w:sz w:val="32"/>
          <w:szCs w:val="32"/>
          <w:lang w:val="en-US" w:eastAsia="zh-CN"/>
        </w:rPr>
        <w:t>深入实施就业优先战略，继续把“稳就业”“扩就业”“促就业”作为第一要务，围绕做好重点群体就业</w:t>
      </w:r>
      <w:r>
        <w:rPr>
          <w:rFonts w:hint="eastAsia" w:ascii="仿宋_GB2312" w:hAnsi="Adobe 楷体 Std R" w:eastAsia="仿宋_GB2312"/>
          <w:color w:val="000000"/>
          <w:sz w:val="32"/>
          <w:szCs w:val="32"/>
          <w:lang w:val="en-US" w:eastAsia="zh-CN"/>
        </w:rPr>
        <w:t>创业</w:t>
      </w:r>
      <w:r>
        <w:rPr>
          <w:rFonts w:hint="default" w:ascii="仿宋_GB2312" w:hAnsi="Adobe 楷体 Std R" w:eastAsia="仿宋_GB2312"/>
          <w:color w:val="000000"/>
          <w:sz w:val="32"/>
          <w:szCs w:val="32"/>
          <w:lang w:val="en-US" w:eastAsia="zh-CN"/>
        </w:rPr>
        <w:t>服务，统筹推进各类招聘会开展、落实落细各类就业创业补贴、职业技能培训、东西部劳务协作等工作，实现我区就业形势总体稳定。</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rPr>
      </w:pPr>
      <w:r>
        <w:rPr>
          <w:rFonts w:hint="eastAsia" w:ascii="仿宋_GB2312" w:hAnsi="Adobe 楷体 Std R" w:eastAsia="仿宋_GB2312"/>
          <w:color w:val="000000"/>
          <w:sz w:val="32"/>
          <w:szCs w:val="32"/>
          <w:lang w:val="en-US" w:eastAsia="zh-CN"/>
        </w:rPr>
        <w:t>2.</w:t>
      </w:r>
      <w:r>
        <w:rPr>
          <w:rFonts w:hint="eastAsia" w:ascii="仿宋_GB2312" w:hAnsi="Adobe 楷体 Std R" w:eastAsia="仿宋_GB2312"/>
          <w:color w:val="000000"/>
          <w:sz w:val="32"/>
          <w:szCs w:val="32"/>
        </w:rPr>
        <w:t>重点工作任务</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rPr>
        <w:t>落实落细省市各项促进就业创业优惠政策，实现大亚湾</w:t>
      </w:r>
      <w:r>
        <w:rPr>
          <w:rFonts w:hint="eastAsia" w:ascii="仿宋_GB2312" w:hAnsi="仿宋_GB2312" w:eastAsia="仿宋_GB2312" w:cs="仿宋_GB2312"/>
          <w:sz w:val="32"/>
          <w:szCs w:val="32"/>
          <w:lang w:val="en-US" w:eastAsia="zh-CN"/>
        </w:rPr>
        <w:t>开发</w:t>
      </w:r>
      <w:r>
        <w:rPr>
          <w:rFonts w:hint="eastAsia" w:ascii="仿宋_GB2312" w:hAnsi="仿宋_GB2312" w:eastAsia="仿宋_GB2312" w:cs="仿宋_GB2312"/>
          <w:sz w:val="32"/>
          <w:szCs w:val="32"/>
        </w:rPr>
        <w:t>区就业形势总体稳定，就业服务工作取得良好进展。2024年全年发放个人就业、创业补贴104人/次。</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sz w:val="32"/>
          <w:szCs w:val="32"/>
          <w:lang w:eastAsia="zh-CN"/>
        </w:rPr>
        <w:t>进一步抓好高校毕业生、下岗失业人员、就业困难人员等重点群体的就业创业工作，健全招聘信息平台，全面储备就业岗位信息，并及时制定2024年度开展举办各类招聘会总体工作方案，2024年度完成各类招聘会活动35场，提供5万个次以上就业岗位，促进区内特殊群体和重点对象实现就业和再就业1650人次。</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三是</w:t>
      </w:r>
      <w:r>
        <w:rPr>
          <w:rFonts w:hint="eastAsia" w:ascii="仿宋_GB2312" w:hAnsi="仿宋_GB2312" w:eastAsia="仿宋_GB2312" w:cs="仿宋_GB2312"/>
          <w:sz w:val="32"/>
          <w:szCs w:val="32"/>
          <w:lang w:eastAsia="zh-CN"/>
        </w:rPr>
        <w:t>严格执行职业技能提升培训补贴政策，加大宣传工作力度，完成各类培训任务和落实培训补贴政策，积极动员宣传并组织区内培训，进一步提高培训资金使用率，开展“广东技工”培训616人（其中“南粤家政”培训299人）。</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rPr>
      </w:pPr>
      <w:r>
        <w:rPr>
          <w:rFonts w:hint="eastAsia" w:ascii="仿宋_GB2312" w:hAnsi="Adobe 楷体 Std R" w:eastAsia="仿宋_GB2312"/>
          <w:color w:val="000000"/>
          <w:sz w:val="32"/>
          <w:szCs w:val="32"/>
        </w:rPr>
        <w:t>（三）部门整体支出绩效目标</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auto"/>
          <w:sz w:val="32"/>
          <w:szCs w:val="32"/>
        </w:rPr>
      </w:pPr>
      <w:r>
        <w:rPr>
          <w:rFonts w:hint="eastAsia" w:ascii="仿宋_GB2312" w:hAnsi="Adobe 楷体 Std R" w:eastAsia="仿宋_GB2312"/>
          <w:color w:val="auto"/>
          <w:sz w:val="32"/>
          <w:szCs w:val="32"/>
        </w:rPr>
        <w:t>1.深入实施就业优先战略，通过落实落细各项就业创业专项补贴，在就业帮扶、就业服务、创新创业等方面上持续发力，实现我区就业形势总体稳定，就业服务工作取得良好进展。</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auto"/>
          <w:sz w:val="32"/>
          <w:szCs w:val="32"/>
        </w:rPr>
      </w:pPr>
      <w:r>
        <w:rPr>
          <w:rFonts w:hint="eastAsia" w:ascii="仿宋_GB2312" w:hAnsi="Adobe 楷体 Std R" w:eastAsia="仿宋_GB2312"/>
          <w:color w:val="auto"/>
          <w:sz w:val="32"/>
          <w:szCs w:val="32"/>
        </w:rPr>
        <w:t>2.通过举办各类招聘会，搭建供需平台，进一步促进我区劳动力实现就业或再就业发展。</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rPr>
      </w:pPr>
      <w:r>
        <w:rPr>
          <w:rFonts w:hint="eastAsia" w:ascii="仿宋_GB2312" w:hAnsi="Adobe 楷体 Std R" w:eastAsia="仿宋_GB2312"/>
          <w:color w:val="auto"/>
          <w:sz w:val="32"/>
          <w:szCs w:val="32"/>
        </w:rPr>
        <w:t>3.通过推动“广东技工”、“南粤家政”、城乡劳动力培育班，实现职业技能培训全面发展。</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rPr>
        <w:t>二、绩效自评</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rPr>
      </w:pPr>
      <w:r>
        <w:rPr>
          <w:rFonts w:hint="eastAsia" w:ascii="仿宋_GB2312" w:hAnsi="Adobe 楷体 Std R" w:eastAsia="仿宋_GB2312"/>
          <w:color w:val="000000"/>
          <w:sz w:val="32"/>
          <w:szCs w:val="32"/>
        </w:rPr>
        <w:t>（一）自评结论</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rPr>
      </w:pPr>
      <w:r>
        <w:rPr>
          <w:rFonts w:hint="eastAsia" w:ascii="仿宋_GB2312" w:hAnsi="仿宋_GB2312" w:eastAsia="仿宋_GB2312" w:cs="仿宋_GB2312"/>
          <w:color w:val="0000FF"/>
          <w:sz w:val="32"/>
          <w:szCs w:val="32"/>
          <w:lang w:val="en-US" w:eastAsia="zh-CN"/>
        </w:rPr>
        <w:t xml:space="preserve"> </w:t>
      </w:r>
      <w:r>
        <w:rPr>
          <w:rFonts w:hint="eastAsia" w:ascii="仿宋_GB2312" w:hAnsi="仿宋_GB2312" w:eastAsia="仿宋_GB2312" w:cs="仿宋_GB2312"/>
          <w:color w:val="auto"/>
          <w:sz w:val="32"/>
          <w:szCs w:val="32"/>
        </w:rPr>
        <w:t>根据《关于开展202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年区级财政资金绩效自评工作的通知》（惠湾财绩监</w:t>
      </w:r>
      <w:r>
        <w:rPr>
          <w:rFonts w:hint="eastAsia" w:ascii="仿宋_GB2312" w:hAnsi="仿宋_GB2312" w:eastAsia="仿宋_GB2312" w:cs="仿宋_GB2312"/>
          <w:b w:val="0"/>
          <w:bCs w:val="0"/>
          <w:color w:val="auto"/>
          <w:kern w:val="2"/>
          <w:sz w:val="32"/>
          <w:szCs w:val="32"/>
          <w:lang w:val="en-US" w:eastAsia="zh-CN" w:bidi="ar-SA"/>
        </w:rPr>
        <w:t>〔2025〕5</w:t>
      </w:r>
      <w:r>
        <w:rPr>
          <w:rFonts w:hint="eastAsia" w:ascii="仿宋_GB2312" w:hAnsi="仿宋_GB2312" w:eastAsia="仿宋_GB2312" w:cs="仿宋_GB2312"/>
          <w:color w:val="auto"/>
          <w:sz w:val="32"/>
          <w:szCs w:val="32"/>
        </w:rPr>
        <w:t>号）相关程序、指标体系和评分标准，</w:t>
      </w:r>
      <w:r>
        <w:rPr>
          <w:rFonts w:hint="eastAsia" w:ascii="仿宋_GB2312" w:hAnsi="仿宋_GB2312" w:eastAsia="仿宋_GB2312" w:cs="仿宋_GB2312"/>
          <w:color w:val="auto"/>
          <w:sz w:val="32"/>
          <w:szCs w:val="32"/>
          <w:lang w:eastAsia="zh-CN"/>
        </w:rPr>
        <w:t>中心</w:t>
      </w:r>
      <w:r>
        <w:rPr>
          <w:rFonts w:hint="eastAsia" w:ascii="仿宋_GB2312" w:hAnsi="仿宋_GB2312" w:eastAsia="仿宋_GB2312" w:cs="仿宋_GB2312"/>
          <w:color w:val="auto"/>
          <w:sz w:val="32"/>
          <w:szCs w:val="32"/>
        </w:rPr>
        <w:t>自评“202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年度部门整体支出”的绩效得分为</w:t>
      </w:r>
      <w:r>
        <w:rPr>
          <w:rFonts w:hint="eastAsia" w:ascii="仿宋_GB2312" w:hAnsi="仿宋_GB2312" w:eastAsia="仿宋_GB2312" w:cs="仿宋_GB2312"/>
          <w:color w:val="auto"/>
          <w:sz w:val="32"/>
          <w:szCs w:val="32"/>
          <w:highlight w:val="none"/>
          <w:lang w:val="en-US" w:eastAsia="zh-CN"/>
        </w:rPr>
        <w:t>94.18</w:t>
      </w:r>
      <w:r>
        <w:rPr>
          <w:rFonts w:hint="eastAsia" w:ascii="仿宋_GB2312" w:hAnsi="仿宋_GB2312" w:eastAsia="仿宋_GB2312" w:cs="仿宋_GB2312"/>
          <w:color w:val="auto"/>
          <w:sz w:val="32"/>
          <w:szCs w:val="32"/>
        </w:rPr>
        <w:t>分。</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lang w:eastAsia="zh-CN"/>
        </w:rPr>
      </w:pPr>
      <w:r>
        <w:rPr>
          <w:rFonts w:hint="eastAsia" w:ascii="仿宋_GB2312" w:hAnsi="Adobe 楷体 Std R" w:eastAsia="仿宋_GB2312"/>
          <w:color w:val="000000"/>
          <w:sz w:val="32"/>
          <w:szCs w:val="32"/>
        </w:rPr>
        <w:t>（二）部门整体支出</w:t>
      </w:r>
      <w:r>
        <w:rPr>
          <w:rFonts w:hint="eastAsia" w:ascii="仿宋_GB2312" w:hAnsi="Adobe 楷体 Std R" w:eastAsia="仿宋_GB2312"/>
          <w:color w:val="000000"/>
          <w:sz w:val="32"/>
          <w:szCs w:val="32"/>
          <w:lang w:eastAsia="zh-CN"/>
        </w:rPr>
        <w:t>绩效指标分析</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lang w:val="en-US" w:eastAsia="zh-CN"/>
        </w:rPr>
      </w:pPr>
      <w:r>
        <w:rPr>
          <w:rFonts w:hint="eastAsia" w:ascii="仿宋_GB2312" w:hAnsi="Adobe 楷体 Std R" w:eastAsia="仿宋_GB2312"/>
          <w:color w:val="000000"/>
          <w:sz w:val="32"/>
          <w:szCs w:val="32"/>
          <w:lang w:val="en-US" w:eastAsia="zh-CN"/>
        </w:rPr>
        <w:t>1.预算编制情况</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lang w:val="en-US" w:eastAsia="zh-CN"/>
        </w:rPr>
      </w:pPr>
      <w:r>
        <w:rPr>
          <w:rFonts w:hint="eastAsia" w:ascii="仿宋_GB2312" w:hAnsi="Adobe 楷体 Std R" w:eastAsia="仿宋_GB2312"/>
          <w:color w:val="000000"/>
          <w:sz w:val="32"/>
          <w:szCs w:val="32"/>
          <w:lang w:val="en-US" w:eastAsia="zh-CN"/>
        </w:rPr>
        <w:t>2024年，本中心预算编制做到预算前对整个部门预算进行科学论证，开展前期调研，整体支出绩效目标明确，即编制预算合理、规范，各支出有明确工作计划。绩效目标指标清晰明确，为预算执行打下基础。具体指标分析如下：</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lang w:val="en-US" w:eastAsia="zh-CN"/>
        </w:rPr>
      </w:pPr>
      <w:r>
        <w:rPr>
          <w:rFonts w:hint="eastAsia" w:ascii="仿宋_GB2312" w:hAnsi="Adobe 楷体 Std R" w:eastAsia="仿宋_GB2312"/>
          <w:color w:val="000000"/>
          <w:sz w:val="32"/>
          <w:szCs w:val="32"/>
          <w:lang w:val="en-US" w:eastAsia="zh-CN"/>
        </w:rPr>
        <w:t>（1）预算编制合理性达到相关文件要求。</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lang w:val="en-US" w:eastAsia="zh-CN"/>
        </w:rPr>
      </w:pPr>
      <w:r>
        <w:rPr>
          <w:rFonts w:hint="eastAsia" w:ascii="仿宋_GB2312" w:hAnsi="Adobe 楷体 Std R" w:eastAsia="仿宋_GB2312"/>
          <w:color w:val="000000"/>
          <w:sz w:val="32"/>
          <w:szCs w:val="32"/>
          <w:lang w:val="en-US" w:eastAsia="zh-CN"/>
        </w:rPr>
        <w:t>（2）绩效目标设定明确清晰。</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lang w:val="en-US" w:eastAsia="zh-CN"/>
        </w:rPr>
      </w:pPr>
      <w:r>
        <w:rPr>
          <w:rFonts w:hint="eastAsia" w:ascii="仿宋_GB2312" w:hAnsi="Adobe 楷体 Std R" w:eastAsia="仿宋_GB2312"/>
          <w:color w:val="000000"/>
          <w:sz w:val="32"/>
          <w:szCs w:val="32"/>
          <w:lang w:val="en-US" w:eastAsia="zh-CN"/>
        </w:rPr>
        <w:t>2.预算执行情况</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lang w:val="en-US" w:eastAsia="zh-CN"/>
        </w:rPr>
      </w:pPr>
      <w:r>
        <w:rPr>
          <w:rFonts w:hint="eastAsia" w:ascii="仿宋_GB2312" w:hAnsi="Adobe 楷体 Std R" w:eastAsia="仿宋_GB2312"/>
          <w:color w:val="000000"/>
          <w:sz w:val="32"/>
          <w:szCs w:val="32"/>
          <w:lang w:val="en-US" w:eastAsia="zh-CN"/>
        </w:rPr>
        <w:t>（1）部门预算资金支出率：2024年，本中心全年支出执行</w:t>
      </w:r>
      <w:r>
        <w:rPr>
          <w:rFonts w:hint="eastAsia" w:ascii="仿宋_GB2312" w:hAnsi="Adobe 楷体 Std R" w:eastAsia="仿宋_GB2312"/>
          <w:color w:val="auto"/>
          <w:sz w:val="32"/>
          <w:szCs w:val="32"/>
          <w:lang w:val="en-US" w:eastAsia="zh-CN"/>
        </w:rPr>
        <w:t>率92.21</w:t>
      </w:r>
      <w:bookmarkStart w:id="1" w:name="_GoBack"/>
      <w:bookmarkEnd w:id="1"/>
      <w:r>
        <w:rPr>
          <w:rFonts w:hint="eastAsia" w:ascii="仿宋_GB2312" w:hAnsi="Adobe 楷体 Std R" w:eastAsia="仿宋_GB2312"/>
          <w:color w:val="auto"/>
          <w:sz w:val="32"/>
          <w:szCs w:val="32"/>
          <w:lang w:val="en-US" w:eastAsia="zh-CN"/>
        </w:rPr>
        <w:t>%</w:t>
      </w:r>
      <w:r>
        <w:rPr>
          <w:rFonts w:hint="eastAsia" w:ascii="仿宋_GB2312" w:hAnsi="Adobe 楷体 Std R" w:eastAsia="仿宋_GB2312"/>
          <w:color w:val="000000"/>
          <w:sz w:val="32"/>
          <w:szCs w:val="32"/>
          <w:lang w:val="en-US" w:eastAsia="zh-CN"/>
        </w:rPr>
        <w:t>。</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auto"/>
          <w:sz w:val="32"/>
          <w:szCs w:val="32"/>
          <w:lang w:val="en-US" w:eastAsia="zh-CN"/>
        </w:rPr>
      </w:pPr>
      <w:r>
        <w:rPr>
          <w:rFonts w:hint="eastAsia" w:ascii="仿宋_GB2312" w:hAnsi="Adobe 楷体 Std R" w:eastAsia="仿宋_GB2312"/>
          <w:color w:val="auto"/>
          <w:sz w:val="32"/>
          <w:szCs w:val="32"/>
          <w:lang w:val="en-US" w:eastAsia="zh-CN"/>
        </w:rPr>
        <w:t>（2）财务合规性：2024年，本中心预算资金管理、费用支出等严格按照规定执行；会计核算规范、支出依据合规，无超范围、超标准支出，无虚列项目支出的情况；无截留、挤占、挪用项目资金情况及其他不符合制度规定支出的情况。</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auto"/>
          <w:sz w:val="32"/>
          <w:szCs w:val="32"/>
          <w:lang w:val="en-US" w:eastAsia="zh-CN"/>
        </w:rPr>
      </w:pPr>
      <w:r>
        <w:rPr>
          <w:rFonts w:hint="eastAsia" w:ascii="仿宋_GB2312" w:hAnsi="Adobe 楷体 Std R" w:eastAsia="仿宋_GB2312"/>
          <w:color w:val="auto"/>
          <w:sz w:val="32"/>
          <w:szCs w:val="32"/>
          <w:lang w:val="en-US" w:eastAsia="zh-CN"/>
        </w:rPr>
        <w:t>3.绩效信息公开情况</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auto"/>
          <w:sz w:val="32"/>
          <w:szCs w:val="32"/>
          <w:lang w:val="en-US" w:eastAsia="zh-CN"/>
        </w:rPr>
      </w:pPr>
      <w:r>
        <w:rPr>
          <w:rFonts w:hint="eastAsia" w:ascii="仿宋_GB2312" w:hAnsi="Adobe 楷体 Std R" w:eastAsia="仿宋_GB2312"/>
          <w:color w:val="auto"/>
          <w:sz w:val="32"/>
          <w:szCs w:val="32"/>
          <w:lang w:val="en-US" w:eastAsia="zh-CN"/>
        </w:rPr>
        <w:t>2024年，本中心2024年绩效目标申报和2024年绩效自评报告在规定时间进行公开。</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lang w:val="en-US" w:eastAsia="zh-CN"/>
        </w:rPr>
      </w:pPr>
      <w:r>
        <w:rPr>
          <w:rFonts w:hint="eastAsia" w:ascii="仿宋_GB2312" w:hAnsi="Adobe 楷体 Std R" w:eastAsia="仿宋_GB2312"/>
          <w:color w:val="000000"/>
          <w:sz w:val="32"/>
          <w:szCs w:val="32"/>
          <w:lang w:val="en-US" w:eastAsia="zh-CN"/>
        </w:rPr>
        <w:t>4.预算使用效益</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lang w:val="en-US" w:eastAsia="zh-CN"/>
        </w:rPr>
      </w:pPr>
      <w:r>
        <w:rPr>
          <w:rFonts w:hint="eastAsia" w:ascii="仿宋_GB2312" w:hAnsi="Adobe 楷体 Std R" w:eastAsia="仿宋_GB2312"/>
          <w:color w:val="000000"/>
          <w:sz w:val="32"/>
          <w:szCs w:val="32"/>
          <w:lang w:val="en-US" w:eastAsia="zh-CN"/>
        </w:rPr>
        <w:t>（1）部门整体绩效目标实现情况。</w:t>
      </w:r>
    </w:p>
    <w:p>
      <w:pPr>
        <w:pStyle w:val="17"/>
        <w:keepNext w:val="0"/>
        <w:keepLines w:val="0"/>
        <w:pageBreakBefore w:val="0"/>
        <w:widowControl w:val="0"/>
        <w:kinsoku/>
        <w:wordWrap/>
        <w:overflowPunct/>
        <w:topLinePunct w:val="0"/>
        <w:autoSpaceDE/>
        <w:bidi w:val="0"/>
        <w:snapToGrid w:val="0"/>
        <w:spacing w:line="560" w:lineRule="exact"/>
        <w:ind w:firstLine="640" w:firstLineChars="200"/>
        <w:textAlignment w:val="auto"/>
        <w:rPr>
          <w:rFonts w:hint="eastAsia" w:ascii="仿宋_GB2312" w:hAnsi="Adobe 楷体 Std R" w:eastAsia="仿宋_GB2312"/>
          <w:color w:val="000000"/>
          <w:sz w:val="32"/>
          <w:szCs w:val="32"/>
          <w:lang w:val="en-US" w:eastAsia="zh-CN"/>
        </w:rPr>
      </w:pPr>
      <w:r>
        <w:rPr>
          <w:rFonts w:hint="eastAsia" w:ascii="仿宋_GB2312" w:hAnsi="Adobe 楷体 Std R" w:eastAsia="仿宋_GB2312"/>
          <w:color w:val="000000"/>
          <w:sz w:val="32"/>
          <w:szCs w:val="32"/>
          <w:lang w:val="en-US" w:eastAsia="zh-CN"/>
        </w:rPr>
        <w:t>①年度主要任务及完成情况概况（3个重点区级项目）</w:t>
      </w:r>
    </w:p>
    <w:tbl>
      <w:tblPr>
        <w:tblStyle w:val="9"/>
        <w:tblpPr w:leftFromText="180" w:rightFromText="180" w:vertAnchor="text" w:horzAnchor="page" w:tblpX="1785" w:tblpY="733"/>
        <w:tblOverlap w:val="never"/>
        <w:tblW w:w="87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2712"/>
        <w:gridCol w:w="5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exact"/>
        </w:trPr>
        <w:tc>
          <w:tcPr>
            <w:tcW w:w="790" w:type="dxa"/>
            <w:noWrap w:val="0"/>
            <w:vAlign w:val="center"/>
          </w:tcPr>
          <w:p>
            <w:pPr>
              <w:keepNext w:val="0"/>
              <w:keepLines w:val="0"/>
              <w:pageBreakBefore w:val="0"/>
              <w:kinsoku/>
              <w:wordWrap/>
              <w:overflowPunct/>
              <w:topLinePunct w:val="0"/>
              <w:autoSpaceDE w:val="0"/>
              <w:autoSpaceDN/>
              <w:bidi w:val="0"/>
              <w:snapToGrid w:val="0"/>
              <w:spacing w:line="560" w:lineRule="exact"/>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序号</w:t>
            </w:r>
          </w:p>
        </w:tc>
        <w:tc>
          <w:tcPr>
            <w:tcW w:w="2712" w:type="dxa"/>
            <w:noWrap w:val="0"/>
            <w:vAlign w:val="center"/>
          </w:tcPr>
          <w:p>
            <w:pPr>
              <w:keepNext w:val="0"/>
              <w:keepLines w:val="0"/>
              <w:pageBreakBefore w:val="0"/>
              <w:kinsoku/>
              <w:wordWrap/>
              <w:overflowPunct/>
              <w:topLinePunct w:val="0"/>
              <w:autoSpaceDE w:val="0"/>
              <w:autoSpaceDN/>
              <w:bidi w:val="0"/>
              <w:snapToGrid w:val="0"/>
              <w:spacing w:line="560" w:lineRule="exact"/>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年度重点工作任务</w:t>
            </w:r>
          </w:p>
        </w:tc>
        <w:tc>
          <w:tcPr>
            <w:tcW w:w="5296" w:type="dxa"/>
            <w:noWrap w:val="0"/>
            <w:vAlign w:val="center"/>
          </w:tcPr>
          <w:p>
            <w:pPr>
              <w:keepNext w:val="0"/>
              <w:keepLines w:val="0"/>
              <w:pageBreakBefore w:val="0"/>
              <w:kinsoku/>
              <w:wordWrap/>
              <w:overflowPunct/>
              <w:topLinePunct w:val="0"/>
              <w:autoSpaceDE w:val="0"/>
              <w:autoSpaceDN/>
              <w:bidi w:val="0"/>
              <w:snapToGrid w:val="0"/>
              <w:spacing w:line="560" w:lineRule="exact"/>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2" w:hRule="exact"/>
        </w:trPr>
        <w:tc>
          <w:tcPr>
            <w:tcW w:w="790" w:type="dxa"/>
            <w:noWrap w:val="0"/>
            <w:vAlign w:val="center"/>
          </w:tcPr>
          <w:p>
            <w:pPr>
              <w:keepNext w:val="0"/>
              <w:keepLines w:val="0"/>
              <w:pageBreakBefore w:val="0"/>
              <w:kinsoku/>
              <w:wordWrap/>
              <w:overflowPunct/>
              <w:topLinePunct w:val="0"/>
              <w:autoSpaceDE w:val="0"/>
              <w:autoSpaceDN/>
              <w:bidi w:val="0"/>
              <w:snapToGrid w:val="0"/>
              <w:spacing w:line="560" w:lineRule="exact"/>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1</w:t>
            </w:r>
          </w:p>
        </w:tc>
        <w:tc>
          <w:tcPr>
            <w:tcW w:w="2712" w:type="dxa"/>
            <w:noWrap w:val="0"/>
            <w:vAlign w:val="center"/>
          </w:tcPr>
          <w:p>
            <w:pPr>
              <w:keepNext w:val="0"/>
              <w:keepLines w:val="0"/>
              <w:pageBreakBefore w:val="0"/>
              <w:widowControl w:val="0"/>
              <w:kinsoku/>
              <w:wordWrap/>
              <w:overflowPunct/>
              <w:topLinePunct w:val="0"/>
              <w:autoSpaceDE w:val="0"/>
              <w:autoSpaceDN/>
              <w:bidi w:val="0"/>
              <w:adjustRightInd/>
              <w:snapToGrid w:val="0"/>
              <w:spacing w:line="400" w:lineRule="exact"/>
              <w:jc w:val="left"/>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公益性招聘会经费</w:t>
            </w:r>
          </w:p>
        </w:tc>
        <w:tc>
          <w:tcPr>
            <w:tcW w:w="5296" w:type="dxa"/>
            <w:noWrap w:val="0"/>
            <w:vAlign w:val="center"/>
          </w:tcPr>
          <w:p>
            <w:pPr>
              <w:keepNext w:val="0"/>
              <w:keepLines w:val="0"/>
              <w:pageBreakBefore w:val="0"/>
              <w:widowControl w:val="0"/>
              <w:kinsoku/>
              <w:wordWrap/>
              <w:overflowPunct/>
              <w:topLinePunct w:val="0"/>
              <w:autoSpaceDE w:val="0"/>
              <w:autoSpaceDN/>
              <w:bidi w:val="0"/>
              <w:adjustRightInd/>
              <w:snapToGrid w:val="0"/>
              <w:spacing w:line="400" w:lineRule="exact"/>
              <w:jc w:val="left"/>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2024年，我区共举办35场各种形式的招聘会（其中网络专场招聘会11场、线下专场招聘会24场），累计有924家次企业参加，提供就业岗位54698个，前来参加求职12161人，达成意愿1650人；其中高校招聘会14场（其中网络专场招聘会4场、线下专场招聘会10场），组织企业306家次，提供岗位14186个，求职人数5446人，达成意愿391人。政策宣传10场，发放各种就业政策资料约1700多份。（其中2024年以来，开展东西部劳务协作专场招聘会4场，组织区内32家重点用工企业参加，提供2971个就业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2" w:hRule="exact"/>
        </w:trPr>
        <w:tc>
          <w:tcPr>
            <w:tcW w:w="790" w:type="dxa"/>
            <w:noWrap w:val="0"/>
            <w:vAlign w:val="center"/>
          </w:tcPr>
          <w:p>
            <w:pPr>
              <w:keepNext w:val="0"/>
              <w:keepLines w:val="0"/>
              <w:pageBreakBefore w:val="0"/>
              <w:kinsoku/>
              <w:wordWrap/>
              <w:overflowPunct/>
              <w:topLinePunct w:val="0"/>
              <w:autoSpaceDE w:val="0"/>
              <w:autoSpaceDN/>
              <w:bidi w:val="0"/>
              <w:snapToGrid w:val="0"/>
              <w:spacing w:line="560" w:lineRule="exact"/>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2</w:t>
            </w:r>
          </w:p>
        </w:tc>
        <w:tc>
          <w:tcPr>
            <w:tcW w:w="2712" w:type="dxa"/>
            <w:noWrap w:val="0"/>
            <w:vAlign w:val="center"/>
          </w:tcPr>
          <w:p>
            <w:pPr>
              <w:keepNext w:val="0"/>
              <w:keepLines w:val="0"/>
              <w:pageBreakBefore w:val="0"/>
              <w:widowControl w:val="0"/>
              <w:kinsoku/>
              <w:wordWrap/>
              <w:overflowPunct/>
              <w:topLinePunct w:val="0"/>
              <w:autoSpaceDE w:val="0"/>
              <w:autoSpaceDN/>
              <w:bidi w:val="0"/>
              <w:adjustRightInd/>
              <w:snapToGrid w:val="0"/>
              <w:spacing w:line="400" w:lineRule="exact"/>
              <w:jc w:val="left"/>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区级职业技能培训补贴经费</w:t>
            </w:r>
          </w:p>
        </w:tc>
        <w:tc>
          <w:tcPr>
            <w:tcW w:w="529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color w:val="auto"/>
                <w:kern w:val="2"/>
                <w:sz w:val="24"/>
                <w:szCs w:val="24"/>
                <w:lang w:val="en-US" w:eastAsia="zh-CN" w:bidi="ar-SA"/>
              </w:rPr>
            </w:pPr>
            <w:bookmarkStart w:id="0" w:name="OLE_LINK1"/>
            <w:r>
              <w:rPr>
                <w:rFonts w:hint="default" w:ascii="仿宋_GB2312" w:hAnsi="仿宋_GB2312" w:eastAsia="仿宋_GB2312" w:cs="仿宋_GB2312"/>
                <w:color w:val="auto"/>
                <w:sz w:val="24"/>
                <w:szCs w:val="24"/>
                <w:lang w:val="en-US" w:eastAsia="zh-CN"/>
              </w:rPr>
              <w:t>全年共举办13期各类培训班，共有616人次参加培训。</w:t>
            </w:r>
            <w:r>
              <w:rPr>
                <w:rFonts w:hint="default" w:ascii="仿宋_GB2312" w:hAnsi="仿宋_GB2312" w:eastAsia="仿宋_GB2312" w:cs="仿宋_GB2312"/>
                <w:color w:val="auto"/>
                <w:kern w:val="2"/>
                <w:sz w:val="24"/>
                <w:szCs w:val="24"/>
                <w:lang w:val="en-US" w:eastAsia="zh-CN" w:bidi="ar-SA"/>
              </w:rPr>
              <w:t>一是5月27日-9月27日，联合区关工委、团区委等部门举办2024年大亚湾开发区南粤家政培训班6期，参加培训人数299人。二是6月-9月，联合区市场监督管理局举办渔村渔民转产转业叉车司机职业技能培训班3期，共有118名城乡青年报名参加培训。三是7月8日-12日，联合霞涌街道办组织开展2024年农村电商培训班1期，区内50名适龄劳动力参加此次免费技能培训。四是9月-11月，联合团区委在大亚湾开发区新兴产业园区就业驿站开展3期企业人力资源管理师培训班，149名区内企业的人力资源工作人员完成培训</w:t>
            </w:r>
            <w:bookmarkEnd w:id="0"/>
            <w:r>
              <w:rPr>
                <w:rFonts w:hint="default" w:ascii="仿宋_GB2312" w:hAnsi="仿宋_GB2312" w:eastAsia="仿宋_GB2312" w:cs="仿宋_GB2312"/>
                <w:color w:val="auto"/>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6" w:hRule="exact"/>
        </w:trPr>
        <w:tc>
          <w:tcPr>
            <w:tcW w:w="790" w:type="dxa"/>
            <w:noWrap w:val="0"/>
            <w:vAlign w:val="center"/>
          </w:tcPr>
          <w:p>
            <w:pPr>
              <w:keepNext w:val="0"/>
              <w:keepLines w:val="0"/>
              <w:pageBreakBefore w:val="0"/>
              <w:kinsoku/>
              <w:wordWrap/>
              <w:overflowPunct/>
              <w:topLinePunct w:val="0"/>
              <w:autoSpaceDE w:val="0"/>
              <w:autoSpaceDN/>
              <w:bidi w:val="0"/>
              <w:snapToGrid w:val="0"/>
              <w:spacing w:line="560" w:lineRule="exact"/>
              <w:jc w:val="center"/>
              <w:rPr>
                <w:rFonts w:ascii="仿宋" w:hAnsi="仿宋" w:eastAsia="仿宋"/>
                <w:color w:val="auto"/>
                <w:sz w:val="24"/>
              </w:rPr>
            </w:pPr>
            <w:r>
              <w:rPr>
                <w:rFonts w:hint="eastAsia" w:ascii="仿宋" w:hAnsi="仿宋" w:eastAsia="仿宋"/>
                <w:color w:val="auto"/>
                <w:sz w:val="24"/>
              </w:rPr>
              <w:t>3</w:t>
            </w:r>
          </w:p>
        </w:tc>
        <w:tc>
          <w:tcPr>
            <w:tcW w:w="2712" w:type="dxa"/>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left"/>
              <w:textAlignment w:val="auto"/>
              <w:rPr>
                <w:rFonts w:hint="eastAsia" w:ascii="仿宋_GB2312" w:hAnsi="仿宋_GB2312" w:eastAsia="仿宋_GB2312" w:cs="仿宋_GB2312"/>
                <w:color w:val="auto"/>
                <w:kern w:val="2"/>
                <w:sz w:val="24"/>
                <w:szCs w:val="24"/>
                <w:lang w:val="en-US" w:eastAsia="zh-CN" w:bidi="ar-SA"/>
              </w:rPr>
            </w:pPr>
          </w:p>
          <w:p>
            <w:pPr>
              <w:pStyle w:val="4"/>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left"/>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区级就业创业专项补贴经费</w:t>
            </w:r>
          </w:p>
          <w:p>
            <w:pPr>
              <w:keepNext w:val="0"/>
              <w:keepLines w:val="0"/>
              <w:pageBreakBefore w:val="0"/>
              <w:kinsoku/>
              <w:wordWrap/>
              <w:overflowPunct/>
              <w:topLinePunct w:val="0"/>
              <w:bidi w:val="0"/>
              <w:spacing w:line="560" w:lineRule="exact"/>
              <w:jc w:val="center"/>
              <w:rPr>
                <w:rFonts w:hint="eastAsia" w:ascii="仿宋_GB2312" w:hAnsi="仿宋_GB2312" w:eastAsia="仿宋_GB2312" w:cs="仿宋_GB2312"/>
                <w:color w:val="auto"/>
                <w:kern w:val="2"/>
                <w:sz w:val="24"/>
                <w:szCs w:val="24"/>
                <w:lang w:val="en-US" w:eastAsia="zh-CN" w:bidi="ar-SA"/>
              </w:rPr>
            </w:pPr>
          </w:p>
          <w:p>
            <w:pPr>
              <w:pStyle w:val="4"/>
              <w:keepNext w:val="0"/>
              <w:keepLines w:val="0"/>
              <w:pageBreakBefore w:val="0"/>
              <w:kinsoku/>
              <w:wordWrap/>
              <w:overflowPunct/>
              <w:topLinePunct w:val="0"/>
              <w:bidi w:val="0"/>
              <w:spacing w:line="560" w:lineRule="exact"/>
              <w:jc w:val="center"/>
              <w:rPr>
                <w:rFonts w:hint="eastAsia" w:ascii="仿宋_GB2312" w:hAnsi="仿宋_GB2312" w:eastAsia="仿宋_GB2312" w:cs="仿宋_GB2312"/>
                <w:color w:val="auto"/>
                <w:kern w:val="2"/>
                <w:sz w:val="24"/>
                <w:szCs w:val="24"/>
                <w:lang w:val="en-US" w:eastAsia="zh-CN" w:bidi="ar-SA"/>
              </w:rPr>
            </w:pPr>
          </w:p>
          <w:p>
            <w:pPr>
              <w:keepNext w:val="0"/>
              <w:keepLines w:val="0"/>
              <w:pageBreakBefore w:val="0"/>
              <w:kinsoku/>
              <w:wordWrap/>
              <w:overflowPunct/>
              <w:topLinePunct w:val="0"/>
              <w:bidi w:val="0"/>
              <w:spacing w:line="560" w:lineRule="exact"/>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城乡劳动力转移培训补助资金</w:t>
            </w:r>
          </w:p>
          <w:p>
            <w:pPr>
              <w:keepNext w:val="0"/>
              <w:keepLines w:val="0"/>
              <w:pageBreakBefore w:val="0"/>
              <w:kinsoku/>
              <w:wordWrap/>
              <w:overflowPunct/>
              <w:topLinePunct w:val="0"/>
              <w:bidi w:val="0"/>
              <w:spacing w:line="560" w:lineRule="exact"/>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吸纳晴隆籍脱贫人口就业专项补贴</w:t>
            </w:r>
          </w:p>
          <w:p>
            <w:pPr>
              <w:keepNext w:val="0"/>
              <w:keepLines w:val="0"/>
              <w:pageBreakBefore w:val="0"/>
              <w:widowControl/>
              <w:suppressLineNumbers w:val="0"/>
              <w:kinsoku/>
              <w:wordWrap/>
              <w:overflowPunct/>
              <w:topLinePunct w:val="0"/>
              <w:autoSpaceDN/>
              <w:bidi w:val="0"/>
              <w:spacing w:line="560" w:lineRule="exact"/>
              <w:jc w:val="center"/>
              <w:textAlignment w:val="center"/>
              <w:rPr>
                <w:rFonts w:hint="eastAsia" w:ascii="仿宋_GB2312" w:hAnsi="仿宋_GB2312" w:eastAsia="仿宋_GB2312" w:cs="仿宋_GB2312"/>
                <w:color w:val="auto"/>
                <w:kern w:val="2"/>
                <w:sz w:val="24"/>
                <w:szCs w:val="24"/>
                <w:lang w:val="en-US" w:eastAsia="zh-CN" w:bidi="ar-SA"/>
              </w:rPr>
            </w:pPr>
          </w:p>
        </w:tc>
        <w:tc>
          <w:tcPr>
            <w:tcW w:w="529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认真落实落细省市各项促进就业创业优惠政策，实现大亚湾区就业形势总体稳定，就业服务工作取得良好进展。2024年全年发放个人就业、创业补贴104人/次。</w:t>
            </w:r>
          </w:p>
        </w:tc>
      </w:tr>
    </w:tbl>
    <w:p>
      <w:pPr>
        <w:pStyle w:val="17"/>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highlight w:val="none"/>
          <w:lang w:val="en-US" w:eastAsia="zh-CN"/>
        </w:rPr>
      </w:pPr>
      <w:r>
        <w:rPr>
          <w:rFonts w:hint="eastAsia" w:ascii="仿宋_GB2312" w:hAnsi="Adobe 楷体 Std R" w:eastAsia="仿宋_GB2312"/>
          <w:color w:val="000000"/>
          <w:sz w:val="32"/>
          <w:szCs w:val="32"/>
          <w:highlight w:val="none"/>
          <w:lang w:val="en-US" w:eastAsia="zh-CN"/>
        </w:rPr>
        <w:t>（2）产出指标分析</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default" w:ascii="仿宋_GB2312" w:hAnsi="Adobe 楷体 Std R" w:eastAsia="仿宋_GB2312"/>
          <w:color w:val="000000"/>
          <w:sz w:val="32"/>
          <w:szCs w:val="32"/>
          <w:highlight w:val="none"/>
          <w:lang w:val="en-US" w:eastAsia="zh-CN"/>
        </w:rPr>
      </w:pPr>
      <w:r>
        <w:rPr>
          <w:rFonts w:hint="eastAsia" w:ascii="仿宋_GB2312" w:hAnsi="Adobe 楷体 Std R" w:eastAsia="仿宋_GB2312"/>
          <w:color w:val="000000"/>
          <w:sz w:val="32"/>
          <w:szCs w:val="32"/>
          <w:highlight w:val="none"/>
          <w:lang w:val="en-US" w:eastAsia="zh-CN"/>
        </w:rPr>
        <w:t>①各类培训总计开展天数（天）。指标分值3.33分，自评得分3.33分，按要求完成培训总天数。</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default" w:ascii="仿宋_GB2312" w:hAnsi="Adobe 楷体 Std R" w:eastAsia="仿宋_GB2312"/>
          <w:color w:val="000000"/>
          <w:sz w:val="32"/>
          <w:szCs w:val="32"/>
          <w:highlight w:val="none"/>
          <w:lang w:val="en-US" w:eastAsia="zh-CN"/>
        </w:rPr>
      </w:pPr>
      <w:r>
        <w:rPr>
          <w:rFonts w:hint="eastAsia" w:ascii="仿宋_GB2312" w:hAnsi="Adobe 楷体 Std R" w:eastAsia="仿宋_GB2312"/>
          <w:color w:val="000000"/>
          <w:sz w:val="32"/>
          <w:szCs w:val="32"/>
          <w:highlight w:val="none"/>
          <w:lang w:val="en-US" w:eastAsia="zh-CN"/>
        </w:rPr>
        <w:t>②开展招聘会、交流会总场次。指标分值3.34分，自评得分3.34分，</w:t>
      </w:r>
      <w:r>
        <w:rPr>
          <w:rFonts w:hint="eastAsia" w:ascii="仿宋_GB2312" w:hAnsi="仿宋_GB2312" w:eastAsia="仿宋_GB2312" w:cs="仿宋_GB2312"/>
          <w:b w:val="0"/>
          <w:bCs w:val="0"/>
          <w:color w:val="auto"/>
          <w:sz w:val="32"/>
          <w:szCs w:val="32"/>
          <w:lang w:eastAsia="zh-CN"/>
        </w:rPr>
        <w:t>2024年，我区共举办35场各种形式的招聘会（其中网络专场招聘会11场、线下专场招聘会24场），累计有924家次企业参加，提供就业岗位54698个，前来参加求职12161人，达成意愿1650人；其中高校招聘会14场（其中网络专场招聘会4场、线下专场招聘会10场），组织企业306家次，提供岗位14186个，求职人数5446人，达成意愿391人。政策宣传10场，发放各种就业政策资料约1700多份。（其中2024年以来，开展东西部劳务协作专场招聘会4场，组织区内32家重点用工企业参加，提供2971个就业岗位。）</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default" w:ascii="仿宋_GB2312" w:hAnsi="Adobe 楷体 Std R" w:eastAsia="仿宋_GB2312"/>
          <w:color w:val="000000"/>
          <w:sz w:val="32"/>
          <w:szCs w:val="32"/>
          <w:highlight w:val="none"/>
          <w:lang w:val="en-US" w:eastAsia="zh-CN"/>
        </w:rPr>
      </w:pPr>
      <w:r>
        <w:rPr>
          <w:rFonts w:hint="eastAsia" w:ascii="仿宋_GB2312" w:hAnsi="Adobe 楷体 Std R" w:eastAsia="仿宋_GB2312"/>
          <w:color w:val="000000"/>
          <w:sz w:val="32"/>
          <w:szCs w:val="32"/>
          <w:highlight w:val="none"/>
          <w:lang w:val="en-US" w:eastAsia="zh-CN"/>
        </w:rPr>
        <w:t>③享受就业、创业类补贴（人/次）。指标分值3.34分，自评得分2.48分，偏差原因：为进一步保障我区重点群体就业创业，会优先发放重点群体（包含高校毕业生、就业困难人员等）的个人补贴。</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highlight w:val="none"/>
          <w:lang w:val="en-US" w:eastAsia="zh-CN"/>
        </w:rPr>
      </w:pPr>
      <w:r>
        <w:rPr>
          <w:rFonts w:hint="eastAsia" w:ascii="仿宋_GB2312" w:hAnsi="Adobe 楷体 Std R" w:eastAsia="仿宋_GB2312"/>
          <w:color w:val="000000"/>
          <w:sz w:val="32"/>
          <w:szCs w:val="32"/>
          <w:highlight w:val="none"/>
          <w:lang w:val="en-US" w:eastAsia="zh-CN"/>
        </w:rPr>
        <w:t>④各类培训人数（人）。指标分值3.34分，自评得分2.5分，偏差原因：广东技工培训使用省级提升行动专项资金，不使用区级职业技能补贴经费，整改措施：下年目标将不在区级经费中统计广东技工培训数。</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⑤发放企业补贴（家）。指标分值3.34分，自评得分0分，</w:t>
      </w:r>
      <w:r>
        <w:rPr>
          <w:rFonts w:hint="eastAsia" w:ascii="仿宋_GB2312" w:hAnsi="Adobe 楷体 Std R" w:eastAsia="仿宋_GB2312"/>
          <w:color w:val="000000"/>
          <w:sz w:val="32"/>
          <w:szCs w:val="32"/>
          <w:highlight w:val="none"/>
          <w:lang w:val="en-US" w:eastAsia="zh-CN"/>
        </w:rPr>
        <w:t>偏差原因：</w:t>
      </w:r>
      <w:r>
        <w:rPr>
          <w:rFonts w:hint="eastAsia" w:ascii="仿宋_GB2312" w:hAnsi="仿宋_GB2312" w:eastAsia="仿宋_GB2312" w:cs="仿宋_GB2312"/>
          <w:color w:val="000000"/>
          <w:sz w:val="32"/>
          <w:szCs w:val="32"/>
          <w:highlight w:val="none"/>
          <w:lang w:val="en-US" w:eastAsia="zh-CN"/>
        </w:rPr>
        <w:t>因区财政困难，培训项目无法开展。</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⑥各类培训计划完成率（%）。指标分值3.33分，自评得分3.33分，按要求完成各类培训计划。</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⑦公益性招聘会计划完成率（%），指标分值3.33分，自评得分3.33分，按要求完成各类培训计划。</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⑧各类培训参与度（%）。指标分值3.33分，自评得分3.33分，各类培训参与度达到100%。</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⑨专项补贴使用要求。指标分值3.34分，自评得分3.34分，符合《关于印发省级促进就业创业发展专项资金管理办法的通知(2)粤财社〔2019〕211号》相关文件</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⑩开展专场招聘会、交流活动及时性。指标分值3.33分，自评得分3.33分，已在2024年11月23日前完成。</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Adobe 楷体 Std R" w:eastAsia="仿宋_GB2312"/>
          <w:color w:val="000000"/>
          <w:sz w:val="32"/>
          <w:szCs w:val="32"/>
          <w:lang w:val="en-US" w:eastAsia="zh-CN"/>
        </w:rPr>
        <w:t>⑪开展各类培训及时性（%）。</w:t>
      </w:r>
      <w:r>
        <w:rPr>
          <w:rFonts w:hint="eastAsia" w:ascii="仿宋_GB2312" w:hAnsi="仿宋_GB2312" w:eastAsia="仿宋_GB2312" w:cs="仿宋_GB2312"/>
          <w:color w:val="000000"/>
          <w:sz w:val="32"/>
          <w:szCs w:val="32"/>
          <w:highlight w:val="none"/>
          <w:lang w:val="en-US" w:eastAsia="zh-CN"/>
        </w:rPr>
        <w:t>指标分值3.33分，自评得分3.33分。</w:t>
      </w:r>
      <w:r>
        <w:rPr>
          <w:rFonts w:hint="default" w:ascii="仿宋_GB2312" w:hAnsi="仿宋_GB2312" w:eastAsia="仿宋_GB2312" w:cs="仿宋_GB2312"/>
          <w:color w:val="auto"/>
          <w:sz w:val="32"/>
          <w:szCs w:val="32"/>
          <w:lang w:val="en-US" w:eastAsia="zh-CN"/>
        </w:rPr>
        <w:t>全年共举办13期各类培训班，共有616人次参加培训。一是5月27日-9月27日，联合区关工委、团区委等部门举办2024年大亚湾开发区南粤家政培训班6期，参加培训人数299人。二是6月-9月，联合区市场监督管理局举办渔村渔民转产转业叉车司机职业技能培训班3期，共有118名城乡青年报名参加培训。三是7月8日-12日，联合霞涌街道办组织开展2024年农村电商培训班1期，区内50名适龄劳动力参加此次免费技能培训。四是9月-11月，联合团区委在大亚湾开发区新兴产业园区就业驿站开展3期企业人力资源管理师培训班，149名区内企业的人力资源工作人员完成培训</w:t>
      </w:r>
      <w:r>
        <w:rPr>
          <w:rFonts w:hint="eastAsia" w:ascii="仿宋_GB2312" w:hAnsi="仿宋_GB2312" w:eastAsia="仿宋_GB2312" w:cs="仿宋_GB2312"/>
          <w:color w:val="auto"/>
          <w:sz w:val="32"/>
          <w:szCs w:val="32"/>
          <w:lang w:val="en-US" w:eastAsia="zh-CN"/>
        </w:rPr>
        <w:t>。</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auto"/>
          <w:sz w:val="32"/>
          <w:szCs w:val="32"/>
          <w:lang w:val="en-US" w:eastAsia="zh-CN"/>
        </w:rPr>
        <w:t>⑫专项补贴发放及时性。</w:t>
      </w:r>
      <w:r>
        <w:rPr>
          <w:rFonts w:hint="eastAsia" w:ascii="仿宋_GB2312" w:hAnsi="仿宋_GB2312" w:eastAsia="仿宋_GB2312" w:cs="仿宋_GB2312"/>
          <w:color w:val="000000"/>
          <w:sz w:val="32"/>
          <w:szCs w:val="32"/>
          <w:highlight w:val="none"/>
          <w:lang w:val="en-US" w:eastAsia="zh-CN"/>
        </w:rPr>
        <w:t>指标分值3.33分，自评得分3.33分，已于2024年12月10日前完成。</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⑬专场招聘会成本控制。指标分值3.33分，自评得分3.33分，严格执行《大亚湾区人社局专项资金使用项目会计台账建设业务指引》(惠湾人社〔2018〕75号)。</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⑭劳务对接活动成本控制。指标分值3.33分，自评得分3.33分，严格执行《大亚湾区人社局专项资金使用项目会计台账建设业务指引》(惠湾人社〔2018〕75号)。</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⑮专项补贴发放标准。指标分值3.33分，自评得分3.33分，按《关于印发省级促进就业创业发展专项资金管理办法的通知(2)粤财社〔2019〕211号》标准。</w:t>
      </w:r>
    </w:p>
    <w:p>
      <w:pPr>
        <w:pStyle w:val="17"/>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Adobe 楷体 Std R" w:eastAsia="仿宋_GB2312"/>
          <w:color w:val="000000"/>
          <w:sz w:val="32"/>
          <w:szCs w:val="32"/>
          <w:highlight w:val="none"/>
          <w:lang w:val="en-US" w:eastAsia="zh-CN"/>
        </w:rPr>
        <w:t>（3）效益指标分析</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①带动就业促进我区社会经济发展增长。指标分值5分，自评得分5分，带动就业促进我区社会经济发展较上年增长。</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000000"/>
          <w:sz w:val="32"/>
          <w:szCs w:val="32"/>
          <w:highlight w:val="none"/>
          <w:lang w:val="en-US" w:eastAsia="zh-CN"/>
        </w:rPr>
        <w:t>②我区城乡劳动力稳岗就业人数（人）。指标分值5分，自评得分5分，</w:t>
      </w:r>
      <w:r>
        <w:rPr>
          <w:rFonts w:hint="default" w:ascii="仿宋_GB2312" w:hAnsi="仿宋_GB2312" w:eastAsia="仿宋_GB2312" w:cs="仿宋_GB2312"/>
          <w:color w:val="auto"/>
          <w:sz w:val="32"/>
          <w:szCs w:val="32"/>
          <w:lang w:val="en-US" w:eastAsia="zh-CN"/>
        </w:rPr>
        <w:t>城镇失业人员再就业</w:t>
      </w:r>
      <w:r>
        <w:rPr>
          <w:rFonts w:hint="eastAsia" w:ascii="仿宋_GB2312" w:hAnsi="仿宋_GB2312" w:eastAsia="仿宋_GB2312" w:cs="仿宋_GB2312"/>
          <w:color w:val="auto"/>
          <w:sz w:val="32"/>
          <w:szCs w:val="32"/>
          <w:lang w:val="en-US" w:eastAsia="zh-CN"/>
        </w:rPr>
        <w:t>2393</w:t>
      </w:r>
      <w:r>
        <w:rPr>
          <w:rFonts w:hint="default" w:ascii="仿宋_GB2312" w:hAnsi="仿宋_GB2312" w:eastAsia="仿宋_GB2312" w:cs="仿宋_GB2312"/>
          <w:color w:val="auto"/>
          <w:sz w:val="32"/>
          <w:szCs w:val="32"/>
          <w:lang w:val="en-US" w:eastAsia="zh-CN"/>
        </w:rPr>
        <w:t>人,完成市下达任务数2000人的</w:t>
      </w:r>
      <w:r>
        <w:rPr>
          <w:rFonts w:hint="eastAsia" w:ascii="仿宋_GB2312" w:hAnsi="仿宋_GB2312" w:eastAsia="仿宋_GB2312" w:cs="仿宋_GB2312"/>
          <w:color w:val="auto"/>
          <w:sz w:val="32"/>
          <w:szCs w:val="32"/>
          <w:lang w:val="en-US" w:eastAsia="zh-CN"/>
        </w:rPr>
        <w:t>119.65</w:t>
      </w:r>
      <w:r>
        <w:rPr>
          <w:rFonts w:hint="default" w:ascii="仿宋_GB2312" w:hAnsi="仿宋_GB2312" w:eastAsia="仿宋_GB2312" w:cs="仿宋_GB2312"/>
          <w:color w:val="auto"/>
          <w:sz w:val="32"/>
          <w:szCs w:val="32"/>
          <w:lang w:val="en-US" w:eastAsia="zh-CN"/>
        </w:rPr>
        <w:t>%</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③我区就业人员综合素质和技能能力。</w:t>
      </w:r>
      <w:r>
        <w:rPr>
          <w:rFonts w:hint="eastAsia" w:ascii="仿宋_GB2312" w:hAnsi="仿宋_GB2312" w:eastAsia="仿宋_GB2312" w:cs="仿宋_GB2312"/>
          <w:color w:val="000000"/>
          <w:sz w:val="32"/>
          <w:szCs w:val="32"/>
          <w:highlight w:val="none"/>
          <w:lang w:val="en-US" w:eastAsia="zh-CN"/>
        </w:rPr>
        <w:t>指标分值5分，自评得分5分，</w:t>
      </w:r>
      <w:r>
        <w:rPr>
          <w:rFonts w:hint="eastAsia" w:ascii="仿宋_GB2312" w:hAnsi="仿宋_GB2312" w:eastAsia="仿宋_GB2312" w:cs="仿宋_GB2312"/>
          <w:color w:val="auto"/>
          <w:sz w:val="32"/>
          <w:szCs w:val="32"/>
          <w:lang w:val="en-US" w:eastAsia="zh-CN"/>
        </w:rPr>
        <w:t>我区就业人员综合素质和技能能力有所提升。</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④促进企业持续发展和劳动力稳岗就业。</w:t>
      </w:r>
      <w:r>
        <w:rPr>
          <w:rFonts w:hint="eastAsia" w:ascii="仿宋_GB2312" w:hAnsi="仿宋_GB2312" w:eastAsia="仿宋_GB2312" w:cs="仿宋_GB2312"/>
          <w:color w:val="000000"/>
          <w:sz w:val="32"/>
          <w:szCs w:val="32"/>
          <w:highlight w:val="none"/>
          <w:lang w:val="en-US" w:eastAsia="zh-CN"/>
        </w:rPr>
        <w:t>指标分值5分，自评得分5分，</w:t>
      </w:r>
      <w:r>
        <w:rPr>
          <w:rFonts w:hint="eastAsia" w:ascii="仿宋_GB2312" w:hAnsi="仿宋_GB2312" w:eastAsia="仿宋_GB2312" w:cs="仿宋_GB2312"/>
          <w:color w:val="auto"/>
          <w:sz w:val="32"/>
          <w:szCs w:val="32"/>
          <w:lang w:val="en-US" w:eastAsia="zh-CN"/>
        </w:rPr>
        <w:t>促进企业持续发展和劳动力稳岗就业效果显著。</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Adobe 楷体 Std R" w:eastAsia="仿宋_GB2312"/>
          <w:color w:val="000000"/>
          <w:sz w:val="32"/>
          <w:szCs w:val="32"/>
          <w:lang w:val="en-US" w:eastAsia="zh-CN"/>
        </w:rPr>
        <w:t>⑤区企业招聘需求。</w:t>
      </w:r>
      <w:r>
        <w:rPr>
          <w:rFonts w:hint="eastAsia" w:ascii="仿宋_GB2312" w:hAnsi="仿宋_GB2312" w:eastAsia="仿宋_GB2312" w:cs="仿宋_GB2312"/>
          <w:color w:val="000000"/>
          <w:sz w:val="32"/>
          <w:szCs w:val="32"/>
          <w:highlight w:val="none"/>
          <w:lang w:val="en-US" w:eastAsia="zh-CN"/>
        </w:rPr>
        <w:t>指标分值5分，自评得分5分，</w:t>
      </w:r>
      <w:r>
        <w:rPr>
          <w:rFonts w:hint="eastAsia" w:ascii="仿宋_GB2312" w:hAnsi="仿宋_GB2312" w:eastAsia="仿宋_GB2312" w:cs="仿宋_GB2312"/>
          <w:b w:val="0"/>
          <w:bCs w:val="0"/>
          <w:color w:val="auto"/>
          <w:sz w:val="32"/>
          <w:szCs w:val="32"/>
          <w:lang w:eastAsia="zh-CN"/>
        </w:rPr>
        <w:t>我区共举办35场各种形式的招聘会（其中网络专场招聘会11场、线下专场招聘会24场），满足区企业招聘需求。</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⑥受益企业满意度（%）。</w:t>
      </w:r>
      <w:r>
        <w:rPr>
          <w:rFonts w:hint="eastAsia" w:ascii="仿宋_GB2312" w:hAnsi="仿宋_GB2312" w:eastAsia="仿宋_GB2312" w:cs="仿宋_GB2312"/>
          <w:color w:val="000000"/>
          <w:sz w:val="32"/>
          <w:szCs w:val="32"/>
          <w:highlight w:val="none"/>
          <w:lang w:val="en-US" w:eastAsia="zh-CN"/>
        </w:rPr>
        <w:t>指标分值5分，自评得分5分，</w:t>
      </w:r>
      <w:r>
        <w:rPr>
          <w:rFonts w:hint="eastAsia" w:ascii="仿宋_GB2312" w:hAnsi="仿宋_GB2312" w:eastAsia="仿宋_GB2312"/>
          <w:color w:val="auto"/>
          <w:sz w:val="32"/>
          <w:szCs w:val="32"/>
          <w:u w:val="none" w:color="auto"/>
          <w:lang w:eastAsia="zh-CN"/>
        </w:rPr>
        <w:t>通过建立重点企业用工每月动态监测、配备就业服务专员等制度，全面掌握重点企业用工需求，并采取“一企一策”，有针对性地做好重点企业的用工服务等工作，受益企业</w:t>
      </w:r>
      <w:r>
        <w:rPr>
          <w:rFonts w:hint="eastAsia" w:ascii="仿宋_GB2312" w:hAnsi="仿宋_GB2312" w:eastAsia="仿宋_GB2312" w:cs="仿宋_GB2312"/>
          <w:b w:val="0"/>
          <w:bCs w:val="0"/>
          <w:color w:val="auto"/>
          <w:sz w:val="32"/>
          <w:szCs w:val="32"/>
          <w:lang w:val="en-US" w:eastAsia="zh-CN"/>
        </w:rPr>
        <w:t>对我中心满意度较高。</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b w:val="0"/>
          <w:bCs w:val="0"/>
          <w:color w:val="auto"/>
          <w:sz w:val="32"/>
          <w:szCs w:val="32"/>
          <w:lang w:val="en-US" w:eastAsia="zh-CN"/>
        </w:rPr>
        <w:t>⑦受训学员满意度（%）。</w:t>
      </w:r>
      <w:r>
        <w:rPr>
          <w:rFonts w:hint="eastAsia" w:ascii="仿宋_GB2312" w:hAnsi="仿宋_GB2312" w:eastAsia="仿宋_GB2312" w:cs="仿宋_GB2312"/>
          <w:color w:val="000000"/>
          <w:sz w:val="32"/>
          <w:szCs w:val="32"/>
          <w:highlight w:val="none"/>
          <w:lang w:val="en-US" w:eastAsia="zh-CN"/>
        </w:rPr>
        <w:t>指标分值5分，自评得分5分，2024年受训学员对我中心满意度较高。</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default" w:ascii="仿宋_GB2312" w:hAnsi="仿宋_GB2312" w:eastAsia="仿宋_GB2312" w:cs="仿宋_GB2312"/>
          <w:color w:val="000000"/>
          <w:sz w:val="32"/>
          <w:szCs w:val="32"/>
          <w:highlight w:val="none"/>
          <w:lang w:val="en-US" w:eastAsia="zh-CN"/>
        </w:rPr>
      </w:pPr>
      <w:r>
        <w:rPr>
          <w:rFonts w:hint="default" w:ascii="仿宋_GB2312" w:hAnsi="仿宋_GB2312" w:eastAsia="仿宋_GB2312" w:cs="仿宋_GB2312"/>
          <w:color w:val="000000"/>
          <w:sz w:val="32"/>
          <w:szCs w:val="32"/>
          <w:highlight w:val="none"/>
          <w:lang w:val="en-US" w:eastAsia="zh-CN"/>
        </w:rPr>
        <w:t>⑧受益个人满意度（%）</w:t>
      </w:r>
      <w:r>
        <w:rPr>
          <w:rFonts w:hint="eastAsia" w:ascii="仿宋_GB2312" w:hAnsi="仿宋_GB2312" w:eastAsia="仿宋_GB2312" w:cs="仿宋_GB2312"/>
          <w:color w:val="000000"/>
          <w:sz w:val="32"/>
          <w:szCs w:val="32"/>
          <w:highlight w:val="none"/>
          <w:lang w:val="en-US" w:eastAsia="zh-CN"/>
        </w:rPr>
        <w:t>。指标分值5分，自评得分5分，2024年受益个人对我中心满意度为100%。</w:t>
      </w:r>
    </w:p>
    <w:p>
      <w:pPr>
        <w:pStyle w:val="17"/>
        <w:keepNext w:val="0"/>
        <w:keepLines w:val="0"/>
        <w:pageBreakBefore w:val="0"/>
        <w:widowControl w:val="0"/>
        <w:kinsoku/>
        <w:wordWrap/>
        <w:overflowPunct/>
        <w:topLinePunct w:val="0"/>
        <w:autoSpaceDE/>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lang w:val="en-US" w:eastAsia="zh-CN"/>
        </w:rPr>
      </w:pPr>
      <w:r>
        <w:rPr>
          <w:rFonts w:hint="eastAsia" w:ascii="仿宋_GB2312" w:hAnsi="Adobe 楷体 Std R" w:eastAsia="仿宋_GB2312"/>
          <w:color w:val="000000"/>
          <w:sz w:val="32"/>
          <w:szCs w:val="32"/>
          <w:lang w:val="en-US" w:eastAsia="zh-CN"/>
        </w:rPr>
        <w:t>(三）部门整体支出绩效管理存在问题及改进意见</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1.存在问题</w:t>
      </w:r>
    </w:p>
    <w:p>
      <w:pPr>
        <w:pStyle w:val="19"/>
        <w:keepNext w:val="0"/>
        <w:keepLines w:val="0"/>
        <w:pageBreakBefore w:val="0"/>
        <w:widowControl w:val="0"/>
        <w:numPr>
          <w:ilvl w:val="0"/>
          <w:numId w:val="0"/>
        </w:numPr>
        <w:pBdr>
          <w:top w:val="none" w:color="000000" w:sz="0" w:space="0"/>
          <w:left w:val="none" w:color="000000" w:sz="0" w:space="0"/>
          <w:bottom w:val="none" w:color="000000" w:sz="0" w:space="15"/>
          <w:right w:val="none" w:color="000000" w:sz="0" w:space="0"/>
        </w:pBdr>
        <w:kinsoku/>
        <w:wordWrap/>
        <w:overflowPunct/>
        <w:topLinePunct w:val="0"/>
        <w:autoSpaceDE/>
        <w:autoSpaceDN w:val="0"/>
        <w:bidi w:val="0"/>
        <w:adjustRightInd w:val="0"/>
        <w:snapToGrid w:val="0"/>
        <w:spacing w:line="560" w:lineRule="exact"/>
        <w:ind w:firstLine="640" w:firstLineChars="200"/>
        <w:jc w:val="both"/>
        <w:textAlignment w:val="auto"/>
        <w:rPr>
          <w:rFonts w:hint="eastAsia" w:ascii="仿宋_GB2312" w:hAnsi="Adobe 楷体 Std R" w:eastAsia="仿宋_GB2312" w:cs="Times New Roman"/>
          <w:color w:val="000000"/>
          <w:sz w:val="32"/>
          <w:szCs w:val="32"/>
          <w:lang w:val="en-US" w:eastAsia="zh-CN"/>
        </w:rPr>
      </w:pPr>
      <w:r>
        <w:rPr>
          <w:rFonts w:hint="eastAsia" w:ascii="仿宋_GB2312" w:hAnsi="仿宋_GB2312" w:eastAsia="仿宋_GB2312" w:cs="仿宋_GB2312"/>
          <w:color w:val="auto"/>
          <w:sz w:val="32"/>
          <w:szCs w:val="32"/>
          <w:lang w:val="en-US" w:eastAsia="zh-CN"/>
        </w:rPr>
        <w:t>（1）</w:t>
      </w:r>
      <w:r>
        <w:rPr>
          <w:rFonts w:hint="eastAsia" w:ascii="仿宋_GB2312" w:hAnsi="Adobe 楷体 Std R" w:eastAsia="仿宋_GB2312"/>
          <w:color w:val="000000"/>
          <w:sz w:val="32"/>
          <w:szCs w:val="32"/>
          <w:lang w:val="en-US" w:eastAsia="zh-CN"/>
        </w:rPr>
        <w:t>绩效管理整体性上还有差距，管理制度需进一步完善。预算安排的科学性、精准性有待提高。</w:t>
      </w:r>
      <w:r>
        <w:rPr>
          <w:rFonts w:hint="eastAsia" w:ascii="仿宋_GB2312" w:hAnsi="Adobe 楷体 Std R" w:eastAsia="仿宋_GB2312" w:cs="Times New Roman"/>
          <w:color w:val="000000"/>
          <w:sz w:val="32"/>
          <w:szCs w:val="32"/>
          <w:lang w:val="en-US" w:eastAsia="zh-CN"/>
        </w:rPr>
        <w:t>预算编制精准度有待提高。由于预算执行中的不确定性，实际经费核算的科目、支出内容与预算会出现一定偏差。</w:t>
      </w:r>
    </w:p>
    <w:p>
      <w:pPr>
        <w:pStyle w:val="19"/>
        <w:keepNext w:val="0"/>
        <w:keepLines w:val="0"/>
        <w:pageBreakBefore w:val="0"/>
        <w:widowControl w:val="0"/>
        <w:numPr>
          <w:ilvl w:val="0"/>
          <w:numId w:val="0"/>
        </w:numPr>
        <w:pBdr>
          <w:top w:val="none" w:color="000000" w:sz="0" w:space="0"/>
          <w:left w:val="none" w:color="000000" w:sz="0" w:space="0"/>
          <w:bottom w:val="none" w:color="000000" w:sz="0" w:space="15"/>
          <w:right w:val="none" w:color="000000" w:sz="0" w:space="0"/>
        </w:pBdr>
        <w:kinsoku/>
        <w:wordWrap/>
        <w:overflowPunct/>
        <w:topLinePunct w:val="0"/>
        <w:autoSpaceDE/>
        <w:autoSpaceDN w:val="0"/>
        <w:bidi w:val="0"/>
        <w:adjustRightInd w:val="0"/>
        <w:snapToGrid w:val="0"/>
        <w:spacing w:line="560" w:lineRule="exact"/>
        <w:ind w:firstLine="640" w:firstLineChars="200"/>
        <w:jc w:val="both"/>
        <w:textAlignment w:val="auto"/>
        <w:rPr>
          <w:rFonts w:hint="eastAsia" w:ascii="仿宋_GB2312" w:hAnsi="仿宋_GB2312" w:eastAsia="仿宋_GB2312" w:cs="仿宋_GB2312"/>
          <w:bCs/>
          <w:color w:val="auto"/>
          <w:sz w:val="32"/>
          <w:szCs w:val="32"/>
          <w:lang w:val="en-US" w:eastAsia="zh-CN"/>
        </w:rPr>
      </w:pPr>
      <w:r>
        <w:rPr>
          <w:rFonts w:hint="eastAsia" w:ascii="仿宋_GB2312" w:hAnsi="Adobe 楷体 Std R" w:eastAsia="仿宋_GB2312"/>
          <w:color w:val="auto"/>
          <w:sz w:val="32"/>
          <w:szCs w:val="32"/>
          <w:highlight w:val="none"/>
          <w:lang w:val="en-US" w:eastAsia="zh-CN"/>
        </w:rPr>
        <w:t>（2）部分绩效指标设置较不合理，未充分考虑到项目实施过程中的限制因素，从而导致部分绩效指标完成值未能达到预定目标。</w:t>
      </w:r>
    </w:p>
    <w:p>
      <w:pPr>
        <w:pStyle w:val="17"/>
        <w:keepNext w:val="0"/>
        <w:keepLines w:val="0"/>
        <w:pageBreakBefore w:val="0"/>
        <w:widowControl w:val="0"/>
        <w:kinsoku/>
        <w:wordWrap/>
        <w:overflowPunct/>
        <w:topLinePunct w:val="0"/>
        <w:autoSpaceDE/>
        <w:autoSpaceDN/>
        <w:bidi w:val="0"/>
        <w:adjustRightInd/>
        <w:snapToGrid w:val="0"/>
        <w:spacing w:line="560" w:lineRule="exact"/>
        <w:ind w:left="638" w:leftChars="304" w:firstLine="0" w:firstLineChars="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（3）单位绩效意识还不够强，自评工作质量还有待提高</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（4）预算编制工作有待细化。预算编制不够明确和细化，预算执行力度还要进一步加强国库集中支付结转结余存量资金效率性。</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2.改进措施</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（1）加强绩效自评意识，提高绩效自评工作质量。</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三、其他自评情况</w:t>
      </w:r>
    </w:p>
    <w:p>
      <w:pPr>
        <w:pStyle w:val="17"/>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Adobe 楷体 Std R" w:eastAsia="仿宋_GB2312"/>
          <w:color w:val="000000"/>
          <w:sz w:val="32"/>
          <w:szCs w:val="32"/>
          <w:lang w:val="en-US" w:eastAsia="zh-CN"/>
        </w:rPr>
      </w:pPr>
      <w:r>
        <w:rPr>
          <w:rFonts w:hint="eastAsia" w:ascii="仿宋_GB2312" w:hAnsi="Adobe 楷体 Std R" w:eastAsia="仿宋_GB2312"/>
          <w:color w:val="000000"/>
          <w:sz w:val="32"/>
          <w:szCs w:val="32"/>
          <w:lang w:val="en-US" w:eastAsia="zh-CN"/>
        </w:rPr>
        <w:t>无。</w:t>
      </w:r>
    </w:p>
    <w:sectPr>
      <w:footerReference r:id="rId3" w:type="default"/>
      <w:pgSz w:w="11906" w:h="16838"/>
      <w:pgMar w:top="2098" w:right="1474" w:bottom="1984" w:left="1587" w:header="851" w:footer="992" w:gutter="0"/>
      <w:pgBorders>
        <w:top w:val="none" w:sz="0" w:space="0"/>
        <w:left w:val="none" w:sz="0" w:space="0"/>
        <w:bottom w:val="none" w:sz="0" w:space="0"/>
        <w:right w:val="none" w:sz="0" w:space="0"/>
      </w:pgBorders>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roman"/>
    <w:pitch w:val="default"/>
    <w:sig w:usb0="80000287" w:usb1="280F3C52" w:usb2="00000016" w:usb3="00000000" w:csb0="0004001F" w:csb1="00000000"/>
  </w:font>
  <w:font w:name="方正楷体_GBK">
    <w:altName w:val="微软雅黑"/>
    <w:panose1 w:val="03000509000000000000"/>
    <w:charset w:val="86"/>
    <w:family w:val="swiss"/>
    <w:pitch w:val="default"/>
    <w:sig w:usb0="00000000" w:usb1="00000000" w:usb2="00000000" w:usb3="00000000" w:csb0="00040000" w:csb1="00000000"/>
  </w:font>
  <w:font w:name="Adobe 楷体 Std R">
    <w:altName w:val="宋体"/>
    <w:panose1 w:val="00000000000000000000"/>
    <w:charset w:val="86"/>
    <w:family w:val="roman"/>
    <w:pitch w:val="default"/>
    <w:sig w:usb0="00000000" w:usb1="00000000" w:usb2="00000010" w:usb3="00000000" w:csb0="00060007" w:csb1="00000000"/>
  </w:font>
  <w:font w:name="仿宋">
    <w:panose1 w:val="02010609060101010101"/>
    <w:charset w:val="86"/>
    <w:family w:val="modern"/>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5"/>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NjMTBkZWY3NTA4NGYyZjUwZTI5YjAxYmQ1NzMzNjYifQ=="/>
  </w:docVars>
  <w:rsids>
    <w:rsidRoot w:val="1ED928BB"/>
    <w:rsid w:val="000172D6"/>
    <w:rsid w:val="00023951"/>
    <w:rsid w:val="0004283B"/>
    <w:rsid w:val="000A15D5"/>
    <w:rsid w:val="000D6C54"/>
    <w:rsid w:val="001203D3"/>
    <w:rsid w:val="00182AEB"/>
    <w:rsid w:val="001B5BC3"/>
    <w:rsid w:val="001B7007"/>
    <w:rsid w:val="00220508"/>
    <w:rsid w:val="00224F66"/>
    <w:rsid w:val="002501D0"/>
    <w:rsid w:val="00297C8D"/>
    <w:rsid w:val="002F0ABF"/>
    <w:rsid w:val="00347D15"/>
    <w:rsid w:val="003754E4"/>
    <w:rsid w:val="00397C22"/>
    <w:rsid w:val="003D63B2"/>
    <w:rsid w:val="00474909"/>
    <w:rsid w:val="004E1541"/>
    <w:rsid w:val="004E233E"/>
    <w:rsid w:val="00503646"/>
    <w:rsid w:val="00505359"/>
    <w:rsid w:val="00560340"/>
    <w:rsid w:val="005C613C"/>
    <w:rsid w:val="005D58D2"/>
    <w:rsid w:val="005F2482"/>
    <w:rsid w:val="00611080"/>
    <w:rsid w:val="0063676D"/>
    <w:rsid w:val="00677281"/>
    <w:rsid w:val="0068155C"/>
    <w:rsid w:val="006833D3"/>
    <w:rsid w:val="006D1B15"/>
    <w:rsid w:val="006F1D1A"/>
    <w:rsid w:val="006F2D61"/>
    <w:rsid w:val="007041F0"/>
    <w:rsid w:val="007C76F1"/>
    <w:rsid w:val="007D7E9F"/>
    <w:rsid w:val="007F4139"/>
    <w:rsid w:val="0086351F"/>
    <w:rsid w:val="0089607B"/>
    <w:rsid w:val="008C2CDF"/>
    <w:rsid w:val="008D1CCA"/>
    <w:rsid w:val="008E17A1"/>
    <w:rsid w:val="008F52E5"/>
    <w:rsid w:val="00904C74"/>
    <w:rsid w:val="00936953"/>
    <w:rsid w:val="00957B53"/>
    <w:rsid w:val="00971C46"/>
    <w:rsid w:val="009F5CE2"/>
    <w:rsid w:val="00A141CA"/>
    <w:rsid w:val="00A17867"/>
    <w:rsid w:val="00A27B2A"/>
    <w:rsid w:val="00A83D7A"/>
    <w:rsid w:val="00AA343D"/>
    <w:rsid w:val="00AB4727"/>
    <w:rsid w:val="00AC2B38"/>
    <w:rsid w:val="00AE3EC0"/>
    <w:rsid w:val="00AF1B79"/>
    <w:rsid w:val="00B04713"/>
    <w:rsid w:val="00B2781F"/>
    <w:rsid w:val="00B415E6"/>
    <w:rsid w:val="00BE7493"/>
    <w:rsid w:val="00C32B58"/>
    <w:rsid w:val="00D111E5"/>
    <w:rsid w:val="00D255EE"/>
    <w:rsid w:val="00D80B0B"/>
    <w:rsid w:val="00DD7F6B"/>
    <w:rsid w:val="00DF79F3"/>
    <w:rsid w:val="00F575C5"/>
    <w:rsid w:val="00F63B38"/>
    <w:rsid w:val="021552B6"/>
    <w:rsid w:val="026A5298"/>
    <w:rsid w:val="026A5DF7"/>
    <w:rsid w:val="02757359"/>
    <w:rsid w:val="03E47A95"/>
    <w:rsid w:val="03F60C33"/>
    <w:rsid w:val="052309D7"/>
    <w:rsid w:val="054A5DA4"/>
    <w:rsid w:val="05C849C5"/>
    <w:rsid w:val="05CC4494"/>
    <w:rsid w:val="05E02285"/>
    <w:rsid w:val="06301DD5"/>
    <w:rsid w:val="065F46F1"/>
    <w:rsid w:val="07071E27"/>
    <w:rsid w:val="07432EBA"/>
    <w:rsid w:val="076D2F8B"/>
    <w:rsid w:val="08E24B66"/>
    <w:rsid w:val="096A02A9"/>
    <w:rsid w:val="09797B75"/>
    <w:rsid w:val="097A73AE"/>
    <w:rsid w:val="0A0355FA"/>
    <w:rsid w:val="0A175849"/>
    <w:rsid w:val="0AFB220D"/>
    <w:rsid w:val="0B57618A"/>
    <w:rsid w:val="0B63197D"/>
    <w:rsid w:val="0B995949"/>
    <w:rsid w:val="0BE23C8F"/>
    <w:rsid w:val="0BE8641C"/>
    <w:rsid w:val="0C443F3E"/>
    <w:rsid w:val="0C5E3CAE"/>
    <w:rsid w:val="0CE8052D"/>
    <w:rsid w:val="0CF07C43"/>
    <w:rsid w:val="0D566589"/>
    <w:rsid w:val="0D5877C5"/>
    <w:rsid w:val="0EF82EFB"/>
    <w:rsid w:val="0F501FA2"/>
    <w:rsid w:val="103F146D"/>
    <w:rsid w:val="12BA4F94"/>
    <w:rsid w:val="13064FC4"/>
    <w:rsid w:val="137471EB"/>
    <w:rsid w:val="13D3735D"/>
    <w:rsid w:val="13F17B6A"/>
    <w:rsid w:val="14496F20"/>
    <w:rsid w:val="14B92645"/>
    <w:rsid w:val="14C02DAD"/>
    <w:rsid w:val="156259D2"/>
    <w:rsid w:val="16114A3E"/>
    <w:rsid w:val="169E5997"/>
    <w:rsid w:val="16A22701"/>
    <w:rsid w:val="17D702A6"/>
    <w:rsid w:val="18331ECA"/>
    <w:rsid w:val="1859650D"/>
    <w:rsid w:val="187B718A"/>
    <w:rsid w:val="18EB73D0"/>
    <w:rsid w:val="190F5F97"/>
    <w:rsid w:val="191E1853"/>
    <w:rsid w:val="1995051C"/>
    <w:rsid w:val="19A53620"/>
    <w:rsid w:val="19BE4E38"/>
    <w:rsid w:val="1A941E8A"/>
    <w:rsid w:val="1B047962"/>
    <w:rsid w:val="1B4731E7"/>
    <w:rsid w:val="1C041310"/>
    <w:rsid w:val="1C0625D9"/>
    <w:rsid w:val="1C6C64F0"/>
    <w:rsid w:val="1C7E076C"/>
    <w:rsid w:val="1C8763E9"/>
    <w:rsid w:val="1CF23D45"/>
    <w:rsid w:val="1D703B00"/>
    <w:rsid w:val="1D797D7A"/>
    <w:rsid w:val="1DFC15B3"/>
    <w:rsid w:val="1E244479"/>
    <w:rsid w:val="1E311BEE"/>
    <w:rsid w:val="1E4A3CE4"/>
    <w:rsid w:val="1E586844"/>
    <w:rsid w:val="1E786D75"/>
    <w:rsid w:val="1EA73422"/>
    <w:rsid w:val="1ED928BB"/>
    <w:rsid w:val="1EEA0511"/>
    <w:rsid w:val="1F02741A"/>
    <w:rsid w:val="1F606126"/>
    <w:rsid w:val="1F9F3468"/>
    <w:rsid w:val="1FA80E18"/>
    <w:rsid w:val="1FD67ABD"/>
    <w:rsid w:val="20154CB6"/>
    <w:rsid w:val="20677148"/>
    <w:rsid w:val="20957E5D"/>
    <w:rsid w:val="21A3687E"/>
    <w:rsid w:val="222E220E"/>
    <w:rsid w:val="225E700A"/>
    <w:rsid w:val="23AA4010"/>
    <w:rsid w:val="244958D0"/>
    <w:rsid w:val="24994CEB"/>
    <w:rsid w:val="24A62D6D"/>
    <w:rsid w:val="24AE52DF"/>
    <w:rsid w:val="24AF14D5"/>
    <w:rsid w:val="253048FE"/>
    <w:rsid w:val="254012DC"/>
    <w:rsid w:val="26054B8E"/>
    <w:rsid w:val="26A87867"/>
    <w:rsid w:val="26E03C8B"/>
    <w:rsid w:val="27430D03"/>
    <w:rsid w:val="27D13AAE"/>
    <w:rsid w:val="2884309A"/>
    <w:rsid w:val="293F5BF0"/>
    <w:rsid w:val="295F4B2B"/>
    <w:rsid w:val="2A417E35"/>
    <w:rsid w:val="2AE111D7"/>
    <w:rsid w:val="2AFC608C"/>
    <w:rsid w:val="2BB65022"/>
    <w:rsid w:val="2BD14FB6"/>
    <w:rsid w:val="2BD41634"/>
    <w:rsid w:val="2C7D409F"/>
    <w:rsid w:val="2CF74FCC"/>
    <w:rsid w:val="2D2243DC"/>
    <w:rsid w:val="2D77767C"/>
    <w:rsid w:val="2D7A6DB6"/>
    <w:rsid w:val="2E277BEA"/>
    <w:rsid w:val="2E6E37EF"/>
    <w:rsid w:val="2E7C6280"/>
    <w:rsid w:val="2F485CB1"/>
    <w:rsid w:val="300625BE"/>
    <w:rsid w:val="31757BA8"/>
    <w:rsid w:val="31BB1090"/>
    <w:rsid w:val="31D4144B"/>
    <w:rsid w:val="320D3576"/>
    <w:rsid w:val="322F613B"/>
    <w:rsid w:val="3291385B"/>
    <w:rsid w:val="32DE1872"/>
    <w:rsid w:val="332C22A0"/>
    <w:rsid w:val="334B333C"/>
    <w:rsid w:val="33DF5DCE"/>
    <w:rsid w:val="3485013C"/>
    <w:rsid w:val="34CD3800"/>
    <w:rsid w:val="355158E9"/>
    <w:rsid w:val="35AB36D5"/>
    <w:rsid w:val="36372DBC"/>
    <w:rsid w:val="36480F57"/>
    <w:rsid w:val="36D25DAB"/>
    <w:rsid w:val="36E019D7"/>
    <w:rsid w:val="3783298F"/>
    <w:rsid w:val="37AA747C"/>
    <w:rsid w:val="37AF2B4A"/>
    <w:rsid w:val="37BA6F78"/>
    <w:rsid w:val="37D059BC"/>
    <w:rsid w:val="38014281"/>
    <w:rsid w:val="387E2391"/>
    <w:rsid w:val="38BF6FA3"/>
    <w:rsid w:val="391A2715"/>
    <w:rsid w:val="395215B5"/>
    <w:rsid w:val="395C61D6"/>
    <w:rsid w:val="3A5528D1"/>
    <w:rsid w:val="3A643E7A"/>
    <w:rsid w:val="3B060A9B"/>
    <w:rsid w:val="3B96219F"/>
    <w:rsid w:val="3BC93381"/>
    <w:rsid w:val="3BD35D16"/>
    <w:rsid w:val="3BE95C62"/>
    <w:rsid w:val="3C19651B"/>
    <w:rsid w:val="3C5B092E"/>
    <w:rsid w:val="3C6B189A"/>
    <w:rsid w:val="3C8F7DED"/>
    <w:rsid w:val="3CB62590"/>
    <w:rsid w:val="3CD512AC"/>
    <w:rsid w:val="3DA4227D"/>
    <w:rsid w:val="3DB25115"/>
    <w:rsid w:val="3DD642A1"/>
    <w:rsid w:val="3E20726C"/>
    <w:rsid w:val="3E3607EF"/>
    <w:rsid w:val="3E477554"/>
    <w:rsid w:val="3E6C3C6C"/>
    <w:rsid w:val="3E7F668D"/>
    <w:rsid w:val="3ECE0655"/>
    <w:rsid w:val="3FF00C73"/>
    <w:rsid w:val="407172DB"/>
    <w:rsid w:val="41187EA1"/>
    <w:rsid w:val="41570653"/>
    <w:rsid w:val="416A2100"/>
    <w:rsid w:val="419A61EA"/>
    <w:rsid w:val="41D465FF"/>
    <w:rsid w:val="41E538DF"/>
    <w:rsid w:val="4210738D"/>
    <w:rsid w:val="42246A8C"/>
    <w:rsid w:val="423644BE"/>
    <w:rsid w:val="44883BB2"/>
    <w:rsid w:val="4544109A"/>
    <w:rsid w:val="45484AD2"/>
    <w:rsid w:val="45586B0C"/>
    <w:rsid w:val="461531EF"/>
    <w:rsid w:val="461C3534"/>
    <w:rsid w:val="466B5666"/>
    <w:rsid w:val="46D06A8E"/>
    <w:rsid w:val="46DC76C6"/>
    <w:rsid w:val="484568DE"/>
    <w:rsid w:val="4859582D"/>
    <w:rsid w:val="48696B26"/>
    <w:rsid w:val="49484A15"/>
    <w:rsid w:val="498C0642"/>
    <w:rsid w:val="4A355A5C"/>
    <w:rsid w:val="4ABA113D"/>
    <w:rsid w:val="4AC84691"/>
    <w:rsid w:val="4AF87C8B"/>
    <w:rsid w:val="4B221C9D"/>
    <w:rsid w:val="4B301BF0"/>
    <w:rsid w:val="4BAF1321"/>
    <w:rsid w:val="4C9B3415"/>
    <w:rsid w:val="4CC25165"/>
    <w:rsid w:val="4CE8465D"/>
    <w:rsid w:val="4D141341"/>
    <w:rsid w:val="4D231BFD"/>
    <w:rsid w:val="4D397848"/>
    <w:rsid w:val="4D3A4C42"/>
    <w:rsid w:val="4D887440"/>
    <w:rsid w:val="4E791457"/>
    <w:rsid w:val="4E951F9E"/>
    <w:rsid w:val="4EA267F4"/>
    <w:rsid w:val="4EB12F1D"/>
    <w:rsid w:val="4FCF11B0"/>
    <w:rsid w:val="505D2169"/>
    <w:rsid w:val="50993B4E"/>
    <w:rsid w:val="50A047FA"/>
    <w:rsid w:val="50F72D06"/>
    <w:rsid w:val="51631CDB"/>
    <w:rsid w:val="51D96F7A"/>
    <w:rsid w:val="546F2F01"/>
    <w:rsid w:val="557D5109"/>
    <w:rsid w:val="557D6471"/>
    <w:rsid w:val="55F41B41"/>
    <w:rsid w:val="577841D3"/>
    <w:rsid w:val="57AB2E9B"/>
    <w:rsid w:val="57D21ED1"/>
    <w:rsid w:val="57F201B6"/>
    <w:rsid w:val="57F67947"/>
    <w:rsid w:val="582D03F1"/>
    <w:rsid w:val="58B0732A"/>
    <w:rsid w:val="58DF2AAC"/>
    <w:rsid w:val="592103CA"/>
    <w:rsid w:val="598608DC"/>
    <w:rsid w:val="5AA62AC2"/>
    <w:rsid w:val="5B2E4499"/>
    <w:rsid w:val="5B540BB1"/>
    <w:rsid w:val="5B880353"/>
    <w:rsid w:val="5BA625F1"/>
    <w:rsid w:val="5C5A234D"/>
    <w:rsid w:val="5CE97390"/>
    <w:rsid w:val="5D5501EB"/>
    <w:rsid w:val="5EA41BEB"/>
    <w:rsid w:val="5EDE6B2A"/>
    <w:rsid w:val="5F2230C2"/>
    <w:rsid w:val="5F23571D"/>
    <w:rsid w:val="5F251FDA"/>
    <w:rsid w:val="5F5E0B04"/>
    <w:rsid w:val="5F8731DA"/>
    <w:rsid w:val="5FA92E00"/>
    <w:rsid w:val="5FC62A50"/>
    <w:rsid w:val="5FF76499"/>
    <w:rsid w:val="60111865"/>
    <w:rsid w:val="604D4DA4"/>
    <w:rsid w:val="60587E03"/>
    <w:rsid w:val="61A914C6"/>
    <w:rsid w:val="61D90730"/>
    <w:rsid w:val="627D47DC"/>
    <w:rsid w:val="62DD1F6D"/>
    <w:rsid w:val="63362CF6"/>
    <w:rsid w:val="633A562A"/>
    <w:rsid w:val="63920D35"/>
    <w:rsid w:val="64105834"/>
    <w:rsid w:val="647840BE"/>
    <w:rsid w:val="64AF2222"/>
    <w:rsid w:val="664B1C51"/>
    <w:rsid w:val="66B01AF2"/>
    <w:rsid w:val="66DB11C8"/>
    <w:rsid w:val="67093221"/>
    <w:rsid w:val="670E49CA"/>
    <w:rsid w:val="671B3BCE"/>
    <w:rsid w:val="678F7895"/>
    <w:rsid w:val="67BB12C8"/>
    <w:rsid w:val="67CF2BFD"/>
    <w:rsid w:val="68173C2E"/>
    <w:rsid w:val="68AF1A57"/>
    <w:rsid w:val="68FE521D"/>
    <w:rsid w:val="69465526"/>
    <w:rsid w:val="698A3BAD"/>
    <w:rsid w:val="69960328"/>
    <w:rsid w:val="69D501EE"/>
    <w:rsid w:val="6A6559BF"/>
    <w:rsid w:val="6A9D64AE"/>
    <w:rsid w:val="6AA555D2"/>
    <w:rsid w:val="6B2145DF"/>
    <w:rsid w:val="6B85616F"/>
    <w:rsid w:val="6BD30AFD"/>
    <w:rsid w:val="6CE55A16"/>
    <w:rsid w:val="6D4E7501"/>
    <w:rsid w:val="6DA33B69"/>
    <w:rsid w:val="6E233A2C"/>
    <w:rsid w:val="6E791FB0"/>
    <w:rsid w:val="6E85082D"/>
    <w:rsid w:val="6EEB604B"/>
    <w:rsid w:val="6F0705EC"/>
    <w:rsid w:val="6F25032E"/>
    <w:rsid w:val="6F4019CA"/>
    <w:rsid w:val="6FD72D85"/>
    <w:rsid w:val="6FEF0581"/>
    <w:rsid w:val="6FF002BB"/>
    <w:rsid w:val="70012413"/>
    <w:rsid w:val="70012465"/>
    <w:rsid w:val="701D716C"/>
    <w:rsid w:val="70A269FE"/>
    <w:rsid w:val="729F0A3C"/>
    <w:rsid w:val="72AE2445"/>
    <w:rsid w:val="730351D9"/>
    <w:rsid w:val="73363C99"/>
    <w:rsid w:val="737212E1"/>
    <w:rsid w:val="73D83748"/>
    <w:rsid w:val="740F0DBA"/>
    <w:rsid w:val="74252EE5"/>
    <w:rsid w:val="746B4852"/>
    <w:rsid w:val="74AC1EBD"/>
    <w:rsid w:val="74B67FBC"/>
    <w:rsid w:val="74DC0F4D"/>
    <w:rsid w:val="75605DF3"/>
    <w:rsid w:val="759C14E4"/>
    <w:rsid w:val="76AD123B"/>
    <w:rsid w:val="77BA64F5"/>
    <w:rsid w:val="782206B6"/>
    <w:rsid w:val="78356B4B"/>
    <w:rsid w:val="789A0F84"/>
    <w:rsid w:val="79036861"/>
    <w:rsid w:val="79F65EAE"/>
    <w:rsid w:val="7A1E1DF3"/>
    <w:rsid w:val="7A4C2FCE"/>
    <w:rsid w:val="7A99229D"/>
    <w:rsid w:val="7A9B0ABA"/>
    <w:rsid w:val="7AA20785"/>
    <w:rsid w:val="7AB91427"/>
    <w:rsid w:val="7B320474"/>
    <w:rsid w:val="7B822C4F"/>
    <w:rsid w:val="7BFC5A2F"/>
    <w:rsid w:val="7C91568C"/>
    <w:rsid w:val="7CC2628B"/>
    <w:rsid w:val="7CFC3568"/>
    <w:rsid w:val="7D006B1D"/>
    <w:rsid w:val="7D4B60A5"/>
    <w:rsid w:val="7D892670"/>
    <w:rsid w:val="7DF818EE"/>
    <w:rsid w:val="7DFC3FFA"/>
    <w:rsid w:val="7EC62672"/>
    <w:rsid w:val="7F391E68"/>
    <w:rsid w:val="7F3C77BC"/>
    <w:rsid w:val="7F3F1B26"/>
    <w:rsid w:val="7F4437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Calibri" w:eastAsia="仿宋_GB2312" w:cs="Times New Roman"/>
      <w:kern w:val="2"/>
      <w:sz w:val="21"/>
      <w:szCs w:val="22"/>
      <w:lang w:val="en-US" w:eastAsia="zh-CN" w:bidi="ar-SA"/>
    </w:rPr>
  </w:style>
  <w:style w:type="paragraph" w:styleId="2">
    <w:name w:val="heading 3"/>
    <w:basedOn w:val="1"/>
    <w:next w:val="1"/>
    <w:link w:val="18"/>
    <w:qFormat/>
    <w:uiPriority w:val="99"/>
    <w:pPr>
      <w:keepNext/>
      <w:keepLines/>
      <w:spacing w:line="413" w:lineRule="auto"/>
      <w:outlineLvl w:val="2"/>
    </w:pPr>
    <w:rPr>
      <w:b/>
      <w:bCs/>
      <w:sz w:val="32"/>
      <w:szCs w:val="32"/>
    </w:rPr>
  </w:style>
  <w:style w:type="character" w:default="1" w:styleId="10">
    <w:name w:val="Default Paragraph Font"/>
    <w:link w:val="11"/>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0"/>
    <w:pPr>
      <w:keepNext w:val="0"/>
      <w:keepLines w:val="0"/>
      <w:widowControl w:val="0"/>
      <w:suppressLineNumbers w:val="0"/>
      <w:spacing w:before="0" w:beforeLines="0" w:beforeAutospacing="0" w:after="120" w:afterLines="0" w:afterAutospacing="0"/>
      <w:ind w:left="0" w:right="0"/>
      <w:jc w:val="both"/>
    </w:pPr>
    <w:rPr>
      <w:rFonts w:hint="default" w:ascii="Calibri" w:hAnsi="Calibri" w:eastAsia="宋体" w:cs="Times New Roman"/>
      <w:kern w:val="2"/>
      <w:sz w:val="21"/>
      <w:szCs w:val="24"/>
      <w:lang w:val="en-US" w:eastAsia="zh-CN" w:bidi="ar"/>
    </w:rPr>
  </w:style>
  <w:style w:type="paragraph" w:styleId="4">
    <w:name w:val="Title"/>
    <w:basedOn w:val="1"/>
    <w:next w:val="1"/>
    <w:qFormat/>
    <w:uiPriority w:val="0"/>
    <w:pPr>
      <w:spacing w:line="560" w:lineRule="exact"/>
      <w:ind w:firstLine="880" w:firstLineChars="200"/>
      <w:outlineLvl w:val="0"/>
    </w:pPr>
    <w:rPr>
      <w:rFonts w:ascii="Arial" w:hAnsi="Arial" w:eastAsia="仿宋_GB2312"/>
      <w:sz w:val="32"/>
      <w:szCs w:val="24"/>
    </w:r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toc 2"/>
    <w:basedOn w:val="1"/>
    <w:next w:val="1"/>
    <w:unhideWhenUsed/>
    <w:qFormat/>
    <w:uiPriority w:val="39"/>
    <w:pPr>
      <w:ind w:left="200" w:leftChars="200"/>
    </w:pPr>
  </w:style>
  <w:style w:type="paragraph" w:styleId="8">
    <w:name w:val="Normal (Web)"/>
    <w:basedOn w:val="1"/>
    <w:unhideWhenUsed/>
    <w:qFormat/>
    <w:uiPriority w:val="99"/>
    <w:pPr>
      <w:widowControl/>
      <w:jc w:val="left"/>
    </w:pPr>
    <w:rPr>
      <w:rFonts w:ascii="微软雅黑" w:hAnsi="微软雅黑" w:eastAsia="宋体" w:cs="宋体"/>
      <w:kern w:val="0"/>
      <w:sz w:val="24"/>
      <w:szCs w:val="24"/>
    </w:rPr>
  </w:style>
  <w:style w:type="paragraph" w:customStyle="1" w:styleId="11">
    <w:name w:val=" Char Char Char Char Char Char Char Char Char Char Char"/>
    <w:basedOn w:val="1"/>
    <w:link w:val="10"/>
    <w:qFormat/>
    <w:uiPriority w:val="0"/>
    <w:pPr>
      <w:widowControl/>
      <w:adjustRightInd w:val="0"/>
      <w:spacing w:after="160" w:afterLines="0" w:line="240" w:lineRule="exact"/>
      <w:jc w:val="left"/>
    </w:pPr>
  </w:style>
  <w:style w:type="paragraph" w:customStyle="1" w:styleId="12">
    <w:name w:val="Default"/>
    <w:qFormat/>
    <w:uiPriority w:val="0"/>
    <w:pPr>
      <w:widowControl w:val="0"/>
      <w:autoSpaceDE w:val="0"/>
      <w:autoSpaceDN w:val="0"/>
    </w:pPr>
    <w:rPr>
      <w:rFonts w:ascii="方正楷体_GBK" w:hAnsi="方正楷体_GBK" w:eastAsia="方正楷体_GBK" w:cs="Times New Roman"/>
      <w:color w:val="000000"/>
      <w:sz w:val="24"/>
      <w:lang w:val="en-US" w:eastAsia="zh-CN" w:bidi="ar-SA"/>
    </w:rPr>
  </w:style>
  <w:style w:type="character" w:customStyle="1" w:styleId="13">
    <w:name w:val="页眉 Char"/>
    <w:basedOn w:val="10"/>
    <w:link w:val="6"/>
    <w:qFormat/>
    <w:uiPriority w:val="0"/>
    <w:rPr>
      <w:rFonts w:ascii="仿宋_GB2312" w:hAnsi="Calibri" w:eastAsia="仿宋_GB2312"/>
      <w:kern w:val="2"/>
      <w:sz w:val="18"/>
      <w:szCs w:val="18"/>
    </w:rPr>
  </w:style>
  <w:style w:type="character" w:customStyle="1" w:styleId="14">
    <w:name w:val="页脚 Char"/>
    <w:basedOn w:val="10"/>
    <w:link w:val="5"/>
    <w:qFormat/>
    <w:uiPriority w:val="0"/>
    <w:rPr>
      <w:rFonts w:ascii="仿宋_GB2312" w:hAnsi="Calibri" w:eastAsia="仿宋_GB2312"/>
      <w:kern w:val="2"/>
      <w:sz w:val="18"/>
      <w:szCs w:val="18"/>
    </w:rPr>
  </w:style>
  <w:style w:type="paragraph" w:customStyle="1" w:styleId="15">
    <w:name w:val="正文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
    <w:name w:val="Normal New New New New New New New New New New New New New New New"/>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17">
    <w:name w:val="正文 New"/>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18">
    <w:name w:val="标题 3 Char"/>
    <w:basedOn w:val="10"/>
    <w:link w:val="2"/>
    <w:qFormat/>
    <w:uiPriority w:val="9"/>
    <w:rPr>
      <w:b/>
      <w:bCs/>
      <w:sz w:val="32"/>
      <w:szCs w:val="32"/>
    </w:rPr>
  </w:style>
  <w:style w:type="paragraph" w:customStyle="1" w:styleId="19">
    <w:name w:val="正文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大亚湾区财政局</Company>
  <Pages>12</Pages>
  <Words>4920</Words>
  <Characters>5463</Characters>
  <Lines>39</Lines>
  <Paragraphs>11</Paragraphs>
  <TotalTime>5</TotalTime>
  <ScaleCrop>false</ScaleCrop>
  <LinksUpToDate>false</LinksUpToDate>
  <CharactersWithSpaces>5485</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2020-05-11T01:55:00Z</dcterms:created>
  <dc:creator>Administrator</dc:creator>
  <cp:lastModifiedBy>朱志洪</cp:lastModifiedBy>
  <cp:lastPrinted>2024-07-10T02:59:00Z</cp:lastPrinted>
  <dcterms:modified xsi:type="dcterms:W3CDTF">2025-05-16T06:28:18Z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5B65996BA70F41D2B5926515F35EC6CE</vt:lpwstr>
  </property>
</Properties>
</file>