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eastAsia="zh-CN"/>
        </w:rPr>
        <w:t>附件</w:t>
      </w:r>
      <w:r>
        <w:rPr>
          <w:rFonts w:hint="eastAsia" w:ascii="Times New Roman" w:hAnsi="Times New Roman" w:eastAsia="黑体" w:cs="Times New Roman"/>
          <w:b w:val="0"/>
          <w:bCs w:val="0"/>
          <w:sz w:val="32"/>
          <w:szCs w:val="32"/>
          <w:highlight w:val="none"/>
          <w:lang w:val="en-US" w:eastAsia="zh-CN"/>
        </w:rPr>
        <w:t>2</w:t>
      </w:r>
    </w:p>
    <w:p>
      <w:pPr>
        <w:pStyle w:val="4"/>
        <w:keepNext w:val="0"/>
        <w:keepLines w:val="0"/>
        <w:pageBreakBefore w:val="0"/>
        <w:kinsoku/>
        <w:wordWrap/>
        <w:overflowPunct/>
        <w:topLinePunct w:val="0"/>
        <w:autoSpaceDE/>
        <w:autoSpaceDN/>
        <w:bidi w:val="0"/>
        <w:adjustRightInd/>
        <w:spacing w:line="560" w:lineRule="exact"/>
        <w:textAlignment w:val="auto"/>
        <w:rPr>
          <w:rFonts w:hint="default"/>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简体" w:hAnsi="仿宋" w:eastAsia="方正小标宋_GBK" w:cs="仿宋"/>
          <w:b w:val="0"/>
          <w:bCs w:val="0"/>
          <w:sz w:val="44"/>
          <w:szCs w:val="44"/>
          <w:highlight w:val="none"/>
          <w:lang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p>
      <w:pPr>
        <w:jc w:val="both"/>
        <w:rPr>
          <w:rFonts w:hint="default" w:ascii="宋体" w:hAnsi="宋体" w:eastAsia="宋体" w:cs="宋体"/>
          <w:b/>
          <w:bCs/>
          <w:i w:val="0"/>
          <w:iCs w:val="0"/>
          <w:color w:val="000000"/>
          <w:kern w:val="0"/>
          <w:sz w:val="32"/>
          <w:szCs w:val="32"/>
          <w:u w:val="none"/>
          <w:lang w:val="en-US" w:eastAsia="zh-CN" w:bidi="ar"/>
        </w:rPr>
      </w:pPr>
    </w:p>
    <w:p>
      <w:pPr>
        <w:jc w:val="center"/>
        <w:rPr>
          <w:rFonts w:hint="default" w:ascii="宋体" w:hAnsi="宋体" w:eastAsia="宋体" w:cs="宋体"/>
          <w:b/>
          <w:bCs/>
          <w:i w:val="0"/>
          <w:iCs w:val="0"/>
          <w:color w:val="000000"/>
          <w:kern w:val="0"/>
          <w:sz w:val="24"/>
          <w:szCs w:val="24"/>
          <w:u w:val="none"/>
          <w:vertAlign w:val="baseline"/>
          <w:lang w:val="en-US" w:eastAsia="zh-CN" w:bidi="ar"/>
        </w:rPr>
      </w:pPr>
      <w:r>
        <w:rPr>
          <w:rFonts w:hint="eastAsia" w:ascii="宋体" w:hAnsi="宋体" w:eastAsia="宋体" w:cs="宋体"/>
          <w:b/>
          <w:bCs/>
          <w:i w:val="0"/>
          <w:iCs w:val="0"/>
          <w:color w:val="000000"/>
          <w:kern w:val="0"/>
          <w:sz w:val="28"/>
          <w:szCs w:val="28"/>
          <w:u w:val="none"/>
          <w:lang w:val="en-US" w:eastAsia="zh-CN" w:bidi="ar"/>
        </w:rPr>
        <w:t>不合格样品信息汇总表</w:t>
      </w:r>
    </w:p>
    <w:tbl>
      <w:tblPr>
        <w:tblStyle w:val="9"/>
        <w:tblW w:w="9690" w:type="dxa"/>
        <w:tblInd w:w="-7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10"/>
        <w:gridCol w:w="1695"/>
        <w:gridCol w:w="2093"/>
        <w:gridCol w:w="1155"/>
        <w:gridCol w:w="1241"/>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67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序号</w:t>
            </w:r>
          </w:p>
        </w:tc>
        <w:tc>
          <w:tcPr>
            <w:tcW w:w="1110"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样品名称</w:t>
            </w:r>
          </w:p>
        </w:tc>
        <w:tc>
          <w:tcPr>
            <w:tcW w:w="169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被抽样单位名称</w:t>
            </w:r>
          </w:p>
        </w:tc>
        <w:tc>
          <w:tcPr>
            <w:tcW w:w="2093"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被抽样单位地址</w:t>
            </w:r>
          </w:p>
        </w:tc>
        <w:tc>
          <w:tcPr>
            <w:tcW w:w="11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检验项目</w:t>
            </w:r>
          </w:p>
        </w:tc>
        <w:tc>
          <w:tcPr>
            <w:tcW w:w="124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检测结果</w:t>
            </w:r>
          </w:p>
        </w:tc>
        <w:tc>
          <w:tcPr>
            <w:tcW w:w="172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1</w:t>
            </w:r>
          </w:p>
        </w:tc>
        <w:tc>
          <w:tcPr>
            <w:tcW w:w="1110" w:type="dxa"/>
            <w:vAlign w:val="center"/>
          </w:tcPr>
          <w:p>
            <w:pPr>
              <w:keepNext w:val="0"/>
              <w:keepLines w:val="0"/>
              <w:widowControl/>
              <w:suppressLineNumbers w:val="0"/>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themeColor="text1"/>
                <w:sz w:val="20"/>
                <w:szCs w:val="20"/>
                <w14:textFill>
                  <w14:solidFill>
                    <w14:schemeClr w14:val="tx1"/>
                  </w14:solidFill>
                </w14:textFill>
              </w:rPr>
              <w:t>黄辣椒王</w:t>
            </w:r>
          </w:p>
        </w:tc>
        <w:tc>
          <w:tcPr>
            <w:tcW w:w="1695" w:type="dxa"/>
            <w:shd w:val="clear" w:color="auto" w:fill="auto"/>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惠州大亚湾乾良生活超市</w:t>
            </w:r>
          </w:p>
        </w:tc>
        <w:tc>
          <w:tcPr>
            <w:tcW w:w="2093" w:type="dxa"/>
            <w:shd w:val="clear" w:color="auto" w:fill="auto"/>
            <w:vAlign w:val="center"/>
          </w:tcPr>
          <w:p>
            <w:pPr>
              <w:jc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惠州大亚湾澳头中兴北路178号东岸丽都花园3栋118号房</w:t>
            </w:r>
          </w:p>
        </w:tc>
        <w:tc>
          <w:tcPr>
            <w:tcW w:w="1155" w:type="dxa"/>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themeColor="text1"/>
                <w:sz w:val="20"/>
                <w:szCs w:val="20"/>
                <w14:textFill>
                  <w14:solidFill>
                    <w14:schemeClr w14:val="tx1"/>
                  </w14:solidFill>
                </w14:textFill>
              </w:rPr>
              <w:t>二氧化硫残留量</w:t>
            </w:r>
          </w:p>
        </w:tc>
        <w:tc>
          <w:tcPr>
            <w:tcW w:w="1241" w:type="dxa"/>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themeColor="text1"/>
                <w:sz w:val="20"/>
                <w:szCs w:val="20"/>
                <w14:textFill>
                  <w14:solidFill>
                    <w14:schemeClr w14:val="tx1"/>
                  </w14:solidFill>
                </w14:textFill>
              </w:rPr>
              <w:t>1.82g/kg</w:t>
            </w:r>
          </w:p>
        </w:tc>
        <w:tc>
          <w:tcPr>
            <w:tcW w:w="1721" w:type="dxa"/>
            <w:vAlign w:val="center"/>
          </w:tcPr>
          <w:p>
            <w:pPr>
              <w:keepNext w:val="0"/>
              <w:keepLines w:val="0"/>
              <w:widowControl/>
              <w:suppressLineNumbers w:val="0"/>
              <w:jc w:val="center"/>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themeColor="text1"/>
                <w:sz w:val="20"/>
                <w:szCs w:val="20"/>
                <w14:textFill>
                  <w14:solidFill>
                    <w14:schemeClr w14:val="tx1"/>
                  </w14:solidFill>
                </w14:textFill>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675" w:type="dxa"/>
            <w:vAlign w:val="center"/>
          </w:tcPr>
          <w:p>
            <w:pPr>
              <w:jc w:val="center"/>
              <w:rPr>
                <w:rFonts w:hint="default" w:ascii="宋体" w:hAnsi="宋体" w:eastAsia="宋体" w:cs="宋体"/>
                <w:color w:val="000000"/>
                <w:kern w:val="0"/>
                <w:sz w:val="21"/>
                <w:szCs w:val="21"/>
                <w:lang w:val="en-US" w:eastAsia="zh-CN" w:bidi="ar"/>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2</w:t>
            </w:r>
          </w:p>
        </w:tc>
        <w:tc>
          <w:tcPr>
            <w:tcW w:w="1110" w:type="dxa"/>
            <w:vAlign w:val="center"/>
          </w:tcPr>
          <w:p>
            <w:pPr>
              <w:keepNext w:val="0"/>
              <w:keepLines w:val="0"/>
              <w:widowControl/>
              <w:suppressLineNumbers w:val="0"/>
              <w:jc w:val="center"/>
              <w:rPr>
                <w:rFonts w:hint="default" w:ascii="宋体" w:hAnsi="宋体" w:eastAsia="宋体" w:cs="宋体"/>
                <w:color w:val="000000"/>
                <w:kern w:val="0"/>
                <w:sz w:val="21"/>
                <w:szCs w:val="21"/>
                <w:lang w:val="en-US" w:eastAsia="zh-CN" w:bidi="ar"/>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鸡蛋</w:t>
            </w:r>
          </w:p>
        </w:tc>
        <w:tc>
          <w:tcPr>
            <w:tcW w:w="1695" w:type="dxa"/>
            <w:shd w:val="clear" w:color="auto" w:fill="auto"/>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惠州大亚湾智启星托管中心</w:t>
            </w:r>
          </w:p>
        </w:tc>
        <w:tc>
          <w:tcPr>
            <w:tcW w:w="2093" w:type="dxa"/>
            <w:shd w:val="clear" w:color="auto" w:fill="auto"/>
            <w:vAlign w:val="center"/>
          </w:tcPr>
          <w:p>
            <w:pPr>
              <w:jc w:val="center"/>
              <w:rPr>
                <w:rFonts w:hint="eastAsia" w:ascii="宋体" w:hAnsi="宋体" w:eastAsia="宋体" w:cs="宋体"/>
                <w:color w:val="000000"/>
                <w:kern w:val="0"/>
                <w:sz w:val="21"/>
                <w:szCs w:val="21"/>
                <w:lang w:val="en-US" w:eastAsia="zh-CN" w:bidi="ar"/>
              </w:rPr>
            </w:pPr>
            <w:r>
              <w:rPr>
                <w:rFonts w:hint="eastAsia" w:ascii="宋体" w:hAnsi="宋体" w:eastAsia="宋体" w:cs="宋体"/>
                <w:i w:val="0"/>
                <w:iCs w:val="0"/>
                <w:caps w:val="0"/>
                <w:color w:val="000000" w:themeColor="text1"/>
                <w:spacing w:val="0"/>
                <w:sz w:val="20"/>
                <w:szCs w:val="20"/>
                <w:shd w:val="clear" w:fill="FFFFFF"/>
                <w14:textFill>
                  <w14:solidFill>
                    <w14:schemeClr w14:val="tx1"/>
                  </w14:solidFill>
                </w14:textFill>
              </w:rPr>
              <w:t>惠州大亚湾澳头中兴六路209号太东财富港中心48栋1层05号房</w:t>
            </w:r>
          </w:p>
        </w:tc>
        <w:tc>
          <w:tcPr>
            <w:tcW w:w="1155" w:type="dxa"/>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themeColor="text1"/>
                <w:sz w:val="20"/>
                <w:szCs w:val="20"/>
                <w14:textFill>
                  <w14:solidFill>
                    <w14:schemeClr w14:val="tx1"/>
                  </w14:solidFill>
                </w14:textFill>
              </w:rPr>
              <w:t>甲硝唑</w:t>
            </w:r>
          </w:p>
        </w:tc>
        <w:tc>
          <w:tcPr>
            <w:tcW w:w="1241" w:type="dxa"/>
            <w:shd w:val="clear" w:color="auto" w:fill="auto"/>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themeColor="text1"/>
                <w:kern w:val="0"/>
                <w:sz w:val="20"/>
                <w:szCs w:val="20"/>
                <w:lang w:val="en-US" w:eastAsia="zh-CN" w:bidi="ar"/>
                <w14:textFill>
                  <w14:solidFill>
                    <w14:schemeClr w14:val="tx1"/>
                  </w14:solidFill>
                </w14:textFill>
              </w:rPr>
              <w:t>76.8µg/kg</w:t>
            </w:r>
          </w:p>
        </w:tc>
        <w:tc>
          <w:tcPr>
            <w:tcW w:w="1721" w:type="dxa"/>
            <w:shd w:val="clear" w:color="auto" w:fill="auto"/>
            <w:vAlign w:val="center"/>
          </w:tcPr>
          <w:p>
            <w:pPr>
              <w:keepNext w:val="0"/>
              <w:keepLines w:val="0"/>
              <w:widowControl/>
              <w:suppressLineNumbers w:val="0"/>
              <w:jc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themeColor="text1"/>
                <w:sz w:val="20"/>
                <w:szCs w:val="20"/>
                <w14:textFill>
                  <w14:solidFill>
                    <w14:schemeClr w14:val="tx1"/>
                  </w14:solidFill>
                </w14:textFill>
              </w:rPr>
              <w:t>不得检出</w:t>
            </w:r>
          </w:p>
        </w:tc>
      </w:tr>
    </w:tbl>
    <w:p>
      <w:pPr>
        <w:jc w:val="center"/>
        <w:rPr>
          <w:rFonts w:hint="eastAsia" w:ascii="宋体" w:hAnsi="宋体" w:eastAsia="宋体" w:cs="宋体"/>
          <w:color w:val="000000"/>
          <w:kern w:val="0"/>
          <w:sz w:val="21"/>
          <w:szCs w:val="21"/>
          <w:lang w:val="en-US" w:eastAsia="zh-CN" w:bidi="ar"/>
        </w:rPr>
      </w:pP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黑体" w:hAnsi="黑体" w:eastAsia="黑体" w:cs="黑体"/>
          <w:b/>
          <w:bCs/>
          <w:color w:val="000000"/>
          <w:kern w:val="0"/>
          <w:sz w:val="32"/>
          <w:szCs w:val="32"/>
          <w:lang w:val="en-US" w:eastAsia="zh-CN" w:bidi="ar"/>
        </w:rPr>
      </w:pPr>
      <w:r>
        <w:rPr>
          <w:rFonts w:hint="eastAsia" w:ascii="黑体" w:hAnsi="黑体" w:eastAsia="黑体" w:cs="黑体"/>
          <w:color w:val="000000" w:themeColor="text1"/>
          <w:sz w:val="32"/>
          <w:szCs w:val="32"/>
          <w:lang w:val="en-US" w:eastAsia="zh-CN"/>
          <w14:textFill>
            <w14:solidFill>
              <w14:schemeClr w14:val="tx1"/>
            </w14:solidFill>
          </w14:textFill>
        </w:rPr>
        <w:t>二</w:t>
      </w:r>
      <w:r>
        <w:rPr>
          <w:rFonts w:hint="eastAsia" w:ascii="黑体" w:hAnsi="黑体" w:eastAsia="黑体" w:cs="黑体"/>
          <w:b/>
          <w:bCs/>
          <w:color w:val="000000"/>
          <w:kern w:val="0"/>
          <w:sz w:val="32"/>
          <w:szCs w:val="32"/>
          <w:lang w:val="en-US" w:eastAsia="zh-CN" w:bidi="ar"/>
        </w:rPr>
        <w:t>氧化硫残留量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二氧化硫残留量（sulfur dioxide）是食品加工中常用的漂白剂和防腐剂，遇水以后形成亚硫酸。二氧化硫被氧化时可使食品的着色</w:t>
      </w:r>
      <w:r>
        <w:rPr>
          <w:rFonts w:hint="eastAsia" w:ascii="仿宋_GB2312" w:hAnsi="仿宋_GB2312" w:eastAsia="仿宋_GB2312" w:cs="仿宋_GB2312"/>
          <w:color w:val="000000"/>
          <w:kern w:val="0"/>
          <w:sz w:val="32"/>
          <w:szCs w:val="32"/>
          <w:lang w:val="en-US" w:eastAsia="zh-CN" w:bidi="ar"/>
        </w:rPr>
        <w:t xml:space="preserve">物质还原褪色，亚硫酸对食品的褐变有抑制作用，对细菌、真菌、酵母菌也有抑制作用，因此既是漂白剂又是防腐剂。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二氧化硫进入人体内后最终转化为硫酸盐并随尿液排出体外。少量二氧化硫进入人体不会对身体带来健康危害，但若过量食用会引起如恶心、呕吐等胃肠道反应。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联合国粮农组织（FAO）和世界卫生组织食品添加剂联合专家委员会（JECFA）建议其日容许摄入量（ADI）为 0~0.7mg/kg bw。二氧化硫不符合标准的原因可能有，个别生产经营企业使用劣质原料以降低成本，其后为了提高产品色泽超量使用二氧化硫；也有可能是使用时不计量或计量不准确；还有可能是由于使用硫磺熏蒸漂白这种传统工艺或直接使用亚硫酸盐浸泡保鲜所造成。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使用应遵循《食品安全国家标准 食品添加剂使用标准》（GB 2760-2014）的规定，我国允许二氧化硫在各类食品中的最大使用量为 0.01-0.4g/kg（以 SO2残留量计）；允许硫磺在各类食品中的最大使用量为 0.1-0.9g/kg（以 SO2残留量计）；根据《食品安全国家标准 食品添加剂 明胶》（GB 6783-2013）的规定，允许二氧化硫在食品添加剂明胶中的最大使用量为 0.03g/kg。根据《食品安全国家标准 食品添加剂使用标准》（GB 2760-2014）及《国家卫生计生委发布关于海藻酸钙等食品添加剂新品种的公告 2016 年第 8 号》、《关于抗坏血酸棕榈酸酯（酶法）等食品添加剂新品种的公告 2016 年第 9 号》、《关于食品用香料新品种 9-癸烯-2-酮、茶多酚等 7 种食品添加剂扩大使用范围 和食品营养强化剂钙扩大使用范围的公告 2016 年第 14 号》、《关于食品添加剂新品种碳酸铵、6-甲基庚醛等9种食品用香料新品种和焦亚硫酸钠等2种食品添加剂扩大使用范围的公告2017年第1号》《国家卫生健康委员会关于弯曲乳杆菌等 24 种“三新食品”的公告 2019 年第 2 号》中的规定。</w:t>
      </w:r>
    </w:p>
    <w:p>
      <w:pPr>
        <w:pStyle w:val="2"/>
        <w:numPr>
          <w:ilvl w:val="0"/>
          <w:numId w:val="1"/>
        </w:numPr>
        <w:ind w:left="0" w:leftChars="0" w:firstLine="561" w:firstLineChars="0"/>
        <w:rPr>
          <w:rFonts w:hint="eastAsia" w:ascii="黑体" w:hAnsi="黑体" w:eastAsia="黑体" w:cs="黑体"/>
          <w:b/>
          <w:bCs/>
          <w:color w:val="000000"/>
          <w:kern w:val="0"/>
          <w:sz w:val="32"/>
          <w:szCs w:val="32"/>
          <w:lang w:val="en-US" w:eastAsia="zh-CN" w:bidi="ar"/>
        </w:rPr>
      </w:pPr>
      <w:r>
        <w:rPr>
          <w:rFonts w:hint="eastAsia" w:ascii="黑体" w:hAnsi="黑体" w:eastAsia="黑体" w:cs="黑体"/>
          <w:b/>
          <w:bCs/>
          <w:color w:val="000000"/>
          <w:kern w:val="0"/>
          <w:sz w:val="32"/>
          <w:szCs w:val="32"/>
          <w:lang w:val="en-US" w:eastAsia="zh-CN" w:bidi="ar"/>
        </w:rPr>
        <w:t>甲硝唑</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甲硝唑（metronidazole）是硝基咪唑类抗菌药。具有内服易吸收快、组织分布广泛、易穿透血脑屏障、达血药峰浓度用时短等优点。对甲硝唑敏感的菌种有：拟杆菌属、梭状芽孢杆菌属、产气荚膜梭菌、消化球菌属等。此外，甲硝唑对滴虫、阿米巴原虫也有强大的杀灭作用。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动物产品的甲硝唑残留，一般不会导致对人体的急性毒性作用；长期大量摄入甲硝唑残留超标的食品，可能在人体内蓄积，产生消化道症状、神经系统症状、皮肤症状、膀胱炎、排尿困难、口中金属味和白细胞减少等。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目前，我国已批准使用的甲硝唑以片剂为主，用于宠物犬。根据《食品安全国家标准 食品</w:t>
      </w:r>
      <w:bookmarkStart w:id="0" w:name="_GoBack"/>
      <w:bookmarkEnd w:id="0"/>
      <w:r>
        <w:rPr>
          <w:rFonts w:hint="eastAsia" w:ascii="仿宋_GB2312" w:hAnsi="仿宋_GB2312" w:eastAsia="仿宋_GB2312" w:cs="仿宋_GB2312"/>
          <w:color w:val="000000"/>
          <w:kern w:val="0"/>
          <w:sz w:val="32"/>
          <w:szCs w:val="32"/>
          <w:lang w:val="en-US" w:eastAsia="zh-CN" w:bidi="ar"/>
        </w:rPr>
        <w:t xml:space="preserve">中兽药最大残留限量》（GB 31650-2019）规定，甲硝唑被列入允许作治疗用，但不得在动物性食品中检出的兽药。我国已发布的甲硝唑残留检测方法标准有：推荐性国家标准 7 项（GB/T 20744-2006、GB/T 21318-2007 、 GB/T 22949-2008 、 GB/T 22982-2008 、 GB/T 23406-2009 、 GB/T 23407-2009、GB/T23410-2009），农业行业标准 1 项（农业部 1025 号公告－2-2008）。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以上标准涵盖了液相色谱和液相色谱-串联质谱等检测方法，涉及猪、牛、鸡、水产动物等的可食组织，以及蜂、奶、肠衣等动物产品。</w:t>
      </w:r>
    </w:p>
    <w:p>
      <w:pPr>
        <w:numPr>
          <w:numId w:val="0"/>
        </w:numPr>
        <w:ind w:left="561" w:leftChars="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left="0" w:leftChars="0" w:right="0" w:rightChars="0" w:firstLine="561" w:firstLineChars="0"/>
        <w:jc w:val="both"/>
        <w:textAlignment w:val="auto"/>
        <w:outlineLvl w:val="9"/>
        <w:rPr>
          <w:rFonts w:hint="eastAsia" w:ascii="宋体" w:hAnsi="宋体" w:eastAsia="宋体" w:cs="宋体"/>
          <w:sz w:val="21"/>
          <w:szCs w:val="21"/>
          <w:lang w:val="en-US" w:eastAsia="zh-CN"/>
        </w:rPr>
      </w:pPr>
    </w:p>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6692E7"/>
    <w:multiLevelType w:val="singleLevel"/>
    <w:tmpl w:val="766692E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WZiNWQyYzYyMTViYmM2NTVlMTQyNzU2MTM3ZjYifQ=="/>
  </w:docVars>
  <w:rsids>
    <w:rsidRoot w:val="352A30F2"/>
    <w:rsid w:val="015E536F"/>
    <w:rsid w:val="04F40BA4"/>
    <w:rsid w:val="08FD4581"/>
    <w:rsid w:val="0FB6751E"/>
    <w:rsid w:val="16310FCE"/>
    <w:rsid w:val="2FBC3540"/>
    <w:rsid w:val="31CA0CFF"/>
    <w:rsid w:val="352A30F2"/>
    <w:rsid w:val="35E03EB2"/>
    <w:rsid w:val="36CA0CF7"/>
    <w:rsid w:val="3A8341F2"/>
    <w:rsid w:val="3B697572"/>
    <w:rsid w:val="3E9E5B13"/>
    <w:rsid w:val="3ECC24D6"/>
    <w:rsid w:val="440F5289"/>
    <w:rsid w:val="4D0C303A"/>
    <w:rsid w:val="4DCF5199"/>
    <w:rsid w:val="52DA1E7D"/>
    <w:rsid w:val="54C8723E"/>
    <w:rsid w:val="58DD45AA"/>
    <w:rsid w:val="617354E1"/>
    <w:rsid w:val="6F2D3F54"/>
    <w:rsid w:val="777E4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50" w:beforeLines="50"/>
      <w:outlineLvl w:val="1"/>
    </w:pPr>
    <w:rPr>
      <w:b/>
      <w:bCs/>
      <w:sz w:val="30"/>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rPr>
      <w:rFonts w:hAnsi="Calibri"/>
      <w:kern w:val="0"/>
      <w:szCs w:val="20"/>
    </w:rPr>
  </w:style>
  <w:style w:type="paragraph" w:styleId="4">
    <w:name w:val="Plain Text"/>
    <w:basedOn w:val="1"/>
    <w:qFormat/>
    <w:uiPriority w:val="0"/>
    <w:rPr>
      <w:rFonts w:ascii="宋体" w:hAnsi="Courier New"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3"/>
    <w:next w:val="1"/>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682</Words>
  <Characters>761</Characters>
  <Lines>0</Lines>
  <Paragraphs>0</Paragraphs>
  <TotalTime>2</TotalTime>
  <ScaleCrop>false</ScaleCrop>
  <LinksUpToDate>false</LinksUpToDate>
  <CharactersWithSpaces>772</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cp:lastPrinted>2025-05-14T07:27:00Z</cp:lastPrinted>
  <dcterms:modified xsi:type="dcterms:W3CDTF">2025-06-16T01:22:59Z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A16F088548914DDAAFB237BBEAAB56C0_11</vt:lpwstr>
  </property>
  <property fmtid="{D5CDD505-2E9C-101B-9397-08002B2CF9AE}" pid="4" name="KSOTemplateDocerSaveRecord">
    <vt:lpwstr>eyJoZGlkIjoiYzkxOTkzNjk4MDg4MGJmYTZjYjQzOGJkNzJhNGExNTIiLCJ1c2VySWQiOiIyODI0NzA3NTUifQ==</vt:lpwstr>
  </property>
</Properties>
</file>