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>
      <w:pPr>
        <w:jc w:val="both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9"/>
        <w:tblW w:w="9690" w:type="dxa"/>
        <w:tblInd w:w="-7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10"/>
        <w:gridCol w:w="1695"/>
        <w:gridCol w:w="2093"/>
        <w:gridCol w:w="1155"/>
        <w:gridCol w:w="1241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09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7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手撕鸡（自制）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惠州大亚湾邹小记手斯鸡铺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惠州大亚湾西区老畲村三大屋市场91号商铺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柠檬黄</w:t>
            </w:r>
          </w:p>
        </w:tc>
        <w:tc>
          <w:tcPr>
            <w:tcW w:w="12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0.0168g/kg</w:t>
            </w:r>
          </w:p>
        </w:tc>
        <w:tc>
          <w:tcPr>
            <w:tcW w:w="17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不得使用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荔枝</w:t>
            </w:r>
          </w:p>
        </w:tc>
        <w:tc>
          <w:tcPr>
            <w:tcW w:w="169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惠州大亚湾锋梅家生活超市</w:t>
            </w:r>
          </w:p>
        </w:tc>
        <w:tc>
          <w:tcPr>
            <w:tcW w:w="209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sz w:val="20"/>
                <w:szCs w:val="20"/>
                <w:shd w:val="clear" w:fill="FFFFFF"/>
                <w14:textFill>
                  <w14:solidFill>
                    <w14:schemeClr w14:val="tx1"/>
                  </w14:solidFill>
                </w14:textFill>
              </w:rPr>
              <w:t>惠州大亚湾霞涌镇南坑村23号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氯氟氰菊酯和高效氯氟氰菊酯</w:t>
            </w:r>
          </w:p>
        </w:tc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0.16mg/kg</w:t>
            </w:r>
          </w:p>
        </w:tc>
        <w:tc>
          <w:tcPr>
            <w:tcW w:w="172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≤0.1mg/kg</w:t>
            </w:r>
          </w:p>
        </w:tc>
      </w:tr>
    </w:tbl>
    <w:p>
      <w:pPr>
        <w:jc w:val="center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一、柠檬黄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柠檬黄（tartrazine），橙黄或亮橙色的粉末或颗粒，是一种合成着色剂，常用于饮料类配制酒、糖果、风味发酵乳、腌渍蔬菜、果冻、膨化食品等制品。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柠檬黄基本无毒，不在体内贮积，绝大部分以原形排出体外；但是如果，也存在健康风险。联合国粮农组织（FAO）和世界卫生组织食品添加剂联合专家委员会（JECFA）建议其日容许摄入量（ADI）为 0~10mg/kg bw。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造成食品中柠檬黄不合格的主要原因有：生产经营企业超限量、超范围使用，或者未准确计量。 使用应遵循《食品安全国家标准 食品添加剂使用标准》（GB 2760-2014）及《国家卫生计生委发布关于食品工业用酶制剂新品种果糖基转移酶（又名 β-果糖基转移酶）和食品添加剂单，双甘油脂肪酸酯等 7 种扩大使用范围的公告 2018 年 第 2 号》、《国家卫生健康委员会关于（±）-1-环己基乙醇等食品添加剂新品种的公告 2018 年 第 8 号》的规定。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20" w:firstLineChars="1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二、氯氟氰菊酯和高效氯氟氰菊酯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氯氟氰菊酯和高效氯氟氰菊酯，是一种广谱、高效拟除虫菊酯类杀虫剂，以触杀和胃毒作用为主，无内吸作用，被广泛用于农林业和卫生害虫的防治。但由于其不易降解，对鱼类、蜜蜂、蚕和蚯蚓都有剧毒，对生态环境有一定影响。经口急性毒性试验表明大鼠经口 LD50 为144mg/kg，急性毒性分级为中等毒性，中毒表现有头痛、头昏、恶心、呕吐、抽搐，重者可出现血压急剧下降、出现昏迷或多器官衰竭。相关研究未见遗传毒性、生殖发育毒性、致畸性和致癌性。少量的农药残留不会引起人体急性中毒，但长期食用氯氟氰菊酯超标的食品，对人体健康有一定影响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联合国粮农组织和世界卫生组织农药残留联席会议（JMPR）建议其日容许摄入量（ADI）为 0.02mg/kg bw（2007）；急性参考剂量（ARfD）为 0.02mg/kg bw（2007）。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 w:firstLine="561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4YWZiNWQyYzYyMTViYmM2NTVlMTQyNzU2MTM3ZjYifQ=="/>
  </w:docVars>
  <w:rsids>
    <w:rsidRoot w:val="352A30F2"/>
    <w:rsid w:val="015E536F"/>
    <w:rsid w:val="04F40BA4"/>
    <w:rsid w:val="0FB6751E"/>
    <w:rsid w:val="125E16A3"/>
    <w:rsid w:val="16310FCE"/>
    <w:rsid w:val="2FBC3540"/>
    <w:rsid w:val="31CA0CFF"/>
    <w:rsid w:val="352A30F2"/>
    <w:rsid w:val="35E03EB2"/>
    <w:rsid w:val="36CA0CF7"/>
    <w:rsid w:val="3A8341F2"/>
    <w:rsid w:val="3B697572"/>
    <w:rsid w:val="3E9E5B13"/>
    <w:rsid w:val="3ECC24D6"/>
    <w:rsid w:val="440F5289"/>
    <w:rsid w:val="4D0C303A"/>
    <w:rsid w:val="4DCF5199"/>
    <w:rsid w:val="52DA1E7D"/>
    <w:rsid w:val="54C8723E"/>
    <w:rsid w:val="58DD45AA"/>
    <w:rsid w:val="617354E1"/>
    <w:rsid w:val="6F2D3F54"/>
    <w:rsid w:val="777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50" w:beforeLines="50"/>
      <w:outlineLvl w:val="1"/>
    </w:pPr>
    <w:rPr>
      <w:b/>
      <w:bCs/>
      <w:sz w:val="30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4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3"/>
    <w:next w:val="1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682</Words>
  <Characters>761</Characters>
  <Lines>0</Lines>
  <Paragraphs>0</Paragraphs>
  <TotalTime>2</TotalTime>
  <ScaleCrop>false</ScaleCrop>
  <LinksUpToDate>false</LinksUpToDate>
  <CharactersWithSpaces>772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谭文婷</cp:lastModifiedBy>
  <cp:lastPrinted>2025-05-14T07:27:00Z</cp:lastPrinted>
  <dcterms:modified xsi:type="dcterms:W3CDTF">2025-07-14T06:46:53Z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A16F088548914DDAAFB237BBEAAB56C0_11</vt:lpwstr>
  </property>
  <property fmtid="{D5CDD505-2E9C-101B-9397-08002B2CF9AE}" pid="4" name="KSOTemplateDocerSaveRecord">
    <vt:lpwstr>eyJoZGlkIjoiYzkxOTkzNjk4MDg4MGJmYTZjYjQzOGJkNzJhNGExNTIiLCJ1c2VySWQiOiIyODI0NzA3NTUifQ==</vt:lpwstr>
  </property>
</Properties>
</file>