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eastAsia"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eastAsia="zh-CN"/>
        </w:rPr>
        <w:t>附件</w:t>
      </w:r>
      <w:r>
        <w:rPr>
          <w:rFonts w:hint="eastAsia" w:ascii="Times New Roman" w:hAnsi="Times New Roman" w:eastAsia="黑体" w:cs="Times New Roman"/>
          <w:b w:val="0"/>
          <w:bCs w:val="0"/>
          <w:sz w:val="32"/>
          <w:szCs w:val="32"/>
          <w:highlight w:val="none"/>
          <w:lang w:val="en-US" w:eastAsia="zh-CN"/>
        </w:rPr>
        <w:t>2</w:t>
      </w:r>
    </w:p>
    <w:p>
      <w:pPr>
        <w:pStyle w:val="5"/>
        <w:keepNext w:val="0"/>
        <w:keepLines w:val="0"/>
        <w:pageBreakBefore w:val="0"/>
        <w:kinsoku/>
        <w:wordWrap/>
        <w:overflowPunct/>
        <w:topLinePunct w:val="0"/>
        <w:autoSpaceDE/>
        <w:autoSpaceDN/>
        <w:bidi w:val="0"/>
        <w:adjustRightInd/>
        <w:spacing w:line="560" w:lineRule="exact"/>
        <w:textAlignment w:val="auto"/>
        <w:rPr>
          <w:rFonts w:hint="default"/>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简体" w:hAnsi="仿宋" w:eastAsia="方正小标宋_GBK" w:cs="仿宋"/>
          <w:b w:val="0"/>
          <w:bCs w:val="0"/>
          <w:sz w:val="44"/>
          <w:szCs w:val="44"/>
          <w:highlight w:val="none"/>
          <w:lang w:eastAsia="zh-CN"/>
        </w:rPr>
      </w:pPr>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p>
    <w:p>
      <w:pPr>
        <w:jc w:val="both"/>
        <w:rPr>
          <w:rFonts w:hint="default" w:ascii="宋体" w:hAnsi="宋体" w:eastAsia="宋体" w:cs="宋体"/>
          <w:b/>
          <w:bCs/>
          <w:i w:val="0"/>
          <w:iCs w:val="0"/>
          <w:color w:val="000000"/>
          <w:kern w:val="0"/>
          <w:sz w:val="32"/>
          <w:szCs w:val="32"/>
          <w:u w:val="none"/>
          <w:lang w:val="en-US" w:eastAsia="zh-CN" w:bidi="ar"/>
        </w:rPr>
      </w:pPr>
    </w:p>
    <w:p>
      <w:pPr>
        <w:jc w:val="center"/>
        <w:rPr>
          <w:rFonts w:hint="default" w:ascii="宋体" w:hAnsi="宋体" w:eastAsia="宋体" w:cs="宋体"/>
          <w:b/>
          <w:bCs/>
          <w:i w:val="0"/>
          <w:iCs w:val="0"/>
          <w:color w:val="000000"/>
          <w:kern w:val="0"/>
          <w:sz w:val="24"/>
          <w:szCs w:val="24"/>
          <w:u w:val="none"/>
          <w:vertAlign w:val="baseline"/>
          <w:lang w:val="en-US" w:eastAsia="zh-CN" w:bidi="ar"/>
        </w:rPr>
      </w:pPr>
      <w:r>
        <w:rPr>
          <w:rFonts w:hint="eastAsia" w:ascii="宋体" w:hAnsi="宋体" w:eastAsia="宋体" w:cs="宋体"/>
          <w:b/>
          <w:bCs/>
          <w:i w:val="0"/>
          <w:iCs w:val="0"/>
          <w:color w:val="000000"/>
          <w:kern w:val="0"/>
          <w:sz w:val="28"/>
          <w:szCs w:val="28"/>
          <w:u w:val="none"/>
          <w:lang w:val="en-US" w:eastAsia="zh-CN" w:bidi="ar"/>
        </w:rPr>
        <w:t>不合格样品信息汇总表</w:t>
      </w:r>
    </w:p>
    <w:tbl>
      <w:tblPr>
        <w:tblStyle w:val="9"/>
        <w:tblW w:w="9690" w:type="dxa"/>
        <w:tblInd w:w="-7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10"/>
        <w:gridCol w:w="1695"/>
        <w:gridCol w:w="2093"/>
        <w:gridCol w:w="1155"/>
        <w:gridCol w:w="1241"/>
        <w:gridCol w:w="1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675" w:type="dxa"/>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序号</w:t>
            </w:r>
          </w:p>
        </w:tc>
        <w:tc>
          <w:tcPr>
            <w:tcW w:w="1110" w:type="dxa"/>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样品名称</w:t>
            </w:r>
          </w:p>
        </w:tc>
        <w:tc>
          <w:tcPr>
            <w:tcW w:w="1695" w:type="dxa"/>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被抽样单位名称</w:t>
            </w:r>
          </w:p>
        </w:tc>
        <w:tc>
          <w:tcPr>
            <w:tcW w:w="2093" w:type="dxa"/>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被抽样单位地址</w:t>
            </w:r>
          </w:p>
        </w:tc>
        <w:tc>
          <w:tcPr>
            <w:tcW w:w="1155" w:type="dxa"/>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检验项目</w:t>
            </w:r>
          </w:p>
        </w:tc>
        <w:tc>
          <w:tcPr>
            <w:tcW w:w="1241" w:type="dxa"/>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检测结果</w:t>
            </w:r>
          </w:p>
        </w:tc>
        <w:tc>
          <w:tcPr>
            <w:tcW w:w="1721" w:type="dxa"/>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1</w:t>
            </w:r>
          </w:p>
        </w:tc>
        <w:tc>
          <w:tcPr>
            <w:tcW w:w="1110" w:type="dxa"/>
            <w:shd w:val="clear" w:color="auto" w:fill="auto"/>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妃子笑（荔枝）</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二力商贸（惠州）有限公司</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惠州大亚湾西区石化大道西299号富康名城花园16栋1层08号商铺</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氯氟氰菊酯和高效氯氟氰菊酯；吡唑醚菌酯</w:t>
            </w:r>
          </w:p>
        </w:tc>
        <w:tc>
          <w:tcPr>
            <w:tcW w:w="1241" w:type="dxa"/>
            <w:shd w:val="clear" w:color="auto" w:fill="auto"/>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0.45</w:t>
            </w:r>
            <w:r>
              <w:rPr>
                <w:rFonts w:hint="eastAsia" w:ascii="宋体" w:hAnsi="宋体" w:eastAsia="宋体" w:cs="宋体"/>
                <w:i w:val="0"/>
                <w:iCs w:val="0"/>
                <w:color w:val="auto"/>
                <w:kern w:val="0"/>
                <w:sz w:val="21"/>
                <w:szCs w:val="21"/>
                <w:u w:val="none"/>
                <w:vertAlign w:val="baseline"/>
                <w:lang w:val="en-US" w:eastAsia="zh-CN" w:bidi="ar"/>
              </w:rPr>
              <w:br w:type="textWrapping"/>
            </w:r>
            <w:r>
              <w:rPr>
                <w:rFonts w:hint="eastAsia" w:ascii="宋体" w:hAnsi="宋体" w:eastAsia="宋体" w:cs="宋体"/>
                <w:i w:val="0"/>
                <w:iCs w:val="0"/>
                <w:color w:val="auto"/>
                <w:kern w:val="0"/>
                <w:sz w:val="21"/>
                <w:szCs w:val="21"/>
                <w:u w:val="none"/>
                <w:vertAlign w:val="baseline"/>
                <w:lang w:val="en-US" w:eastAsia="zh-CN" w:bidi="ar"/>
              </w:rPr>
              <w:t>；0.22</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2</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荔枝</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惠州大亚湾兴兴鸿运商贸商行（个体工商户）</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惠州大亚湾西区樟树埔龙山一路61号德洲城巴里晨光花园27栋1层16号房</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氯氟氰菊酯和高效氯氟氰菊酯</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0.16</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3</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白糖罂（荔枝）</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惠州大亚湾百分百鲜水果店</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惠州大亚湾西区樟浦红星市场</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吡唑醚菌酯</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0.17</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4</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白糖罂（荔枝）</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惠州市篮子果业有限公司</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惠州大亚湾西区樟树埔龙山一路61号德洲城巴里晨光花园27栋1层12号房</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氯氟氰菊酯和高效氯氟氰菊酯</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0.29</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5</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妃子笑（荔枝）</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惠州大亚湾乐波水果档</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惠州大亚湾西区樟浦红星市场内</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氯氟氰菊酯和高效氯氟氰菊酯</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0.25</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6</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妃子笑（荔枝）</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惠州大亚湾鑫佳乐汇生活超市（个体工商户）</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惠州大亚湾西区龙山一路62号锦地繁花骏园20栋1层08-14号房</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氯氟氰菊酯和高效氯氟氰菊酯；吡唑醚菌酯</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0.38</w:t>
            </w:r>
            <w:r>
              <w:rPr>
                <w:rFonts w:hint="eastAsia" w:ascii="宋体" w:hAnsi="宋体" w:eastAsia="宋体" w:cs="宋体"/>
                <w:i w:val="0"/>
                <w:iCs w:val="0"/>
                <w:color w:val="auto"/>
                <w:kern w:val="0"/>
                <w:sz w:val="21"/>
                <w:szCs w:val="21"/>
                <w:u w:val="none"/>
                <w:vertAlign w:val="baseline"/>
                <w:lang w:val="en-US" w:eastAsia="zh-CN" w:bidi="ar"/>
              </w:rPr>
              <w:br w:type="textWrapping"/>
            </w:r>
            <w:r>
              <w:rPr>
                <w:rFonts w:hint="eastAsia" w:ascii="宋体" w:hAnsi="宋体" w:eastAsia="宋体" w:cs="宋体"/>
                <w:i w:val="0"/>
                <w:iCs w:val="0"/>
                <w:color w:val="auto"/>
                <w:kern w:val="0"/>
                <w:sz w:val="21"/>
                <w:szCs w:val="21"/>
                <w:u w:val="none"/>
                <w:vertAlign w:val="baseline"/>
                <w:lang w:val="en-US" w:eastAsia="zh-CN" w:bidi="ar"/>
              </w:rPr>
              <w:t>；0.13</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≤0.1</w:t>
            </w:r>
            <w:r>
              <w:rPr>
                <w:rFonts w:hint="eastAsia" w:ascii="宋体" w:hAnsi="宋体" w:eastAsia="宋体" w:cs="宋体"/>
                <w:i w:val="0"/>
                <w:iCs w:val="0"/>
                <w:color w:val="auto"/>
                <w:kern w:val="0"/>
                <w:sz w:val="21"/>
                <w:szCs w:val="21"/>
                <w:u w:val="none"/>
                <w:vertAlign w:val="baseline"/>
                <w:lang w:val="en-US" w:eastAsia="zh-CN" w:bidi="ar"/>
              </w:rPr>
              <w:br w:type="textWrapping"/>
            </w:r>
            <w:r>
              <w:rPr>
                <w:rFonts w:hint="eastAsia" w:ascii="宋体" w:hAnsi="宋体" w:eastAsia="宋体" w:cs="宋体"/>
                <w:i w:val="0"/>
                <w:iCs w:val="0"/>
                <w:color w:val="auto"/>
                <w:kern w:val="0"/>
                <w:sz w:val="21"/>
                <w:szCs w:val="21"/>
                <w:u w:val="none"/>
                <w:vertAlign w:val="baseline"/>
                <w:lang w:val="en-US" w:eastAsia="zh-CN"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7</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妃子笑（荔枝）</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惠州大亚湾志平水果档</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惠州大亚湾霞涌市场</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除虫脲</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1.15mg/kg</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≤0.5mg/kg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8</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海南香蕉（香蕉）</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惠州大亚湾勇诚生活超市</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惠州大亚湾霞涌石化大道东小径湾3号银滩花园5栋1层07号、08号房</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腈苯唑</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0.079mg/kg</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≤0.05mg/kg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9</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中大台（芒果）</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惠州大亚湾志平水果档</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惠州大亚湾霞涌市场</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吡唑醚菌酯</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0.11mg/kg</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≤0.05mg/kg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10</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小碗</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惠州大亚湾领航博雅托管服务部</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惠州大亚湾霞涌霞光二路18号华浩海悦湾第23栋104号</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大肠菌群</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检出</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11</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大碗</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惠州大亚湾领航博雅托管服务部</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惠州大亚湾霞涌霞光二路18号华浩海悦湾第23栋104号</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大肠菌群</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检出</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12</w:t>
            </w:r>
          </w:p>
        </w:tc>
        <w:tc>
          <w:tcPr>
            <w:tcW w:w="1110"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荔枝</w:t>
            </w:r>
          </w:p>
        </w:tc>
        <w:tc>
          <w:tcPr>
            <w:tcW w:w="169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惠州大亚湾溢香园水果店</w:t>
            </w:r>
          </w:p>
        </w:tc>
        <w:tc>
          <w:tcPr>
            <w:tcW w:w="2093"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惠州大亚湾澳头大塭坝市场二巷47号铺</w:t>
            </w:r>
          </w:p>
        </w:tc>
        <w:tc>
          <w:tcPr>
            <w:tcW w:w="1155"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除虫脲</w:t>
            </w:r>
          </w:p>
        </w:tc>
        <w:tc>
          <w:tcPr>
            <w:tcW w:w="124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1.61mg/kg</w:t>
            </w:r>
          </w:p>
        </w:tc>
        <w:tc>
          <w:tcPr>
            <w:tcW w:w="1721" w:type="dxa"/>
            <w:shd w:val="clear" w:color="auto" w:fill="auto"/>
            <w:vAlign w:val="center"/>
          </w:tcPr>
          <w:p>
            <w:pPr>
              <w:jc w:val="center"/>
              <w:rPr>
                <w:rFonts w:hint="eastAsia" w:ascii="宋体" w:hAnsi="宋体" w:eastAsia="宋体" w:cs="宋体"/>
                <w:i w:val="0"/>
                <w:iCs w:val="0"/>
                <w:color w:val="auto"/>
                <w:kern w:val="0"/>
                <w:sz w:val="21"/>
                <w:szCs w:val="21"/>
                <w:u w:val="none"/>
                <w:vertAlign w:val="baseline"/>
                <w:lang w:val="en-US" w:eastAsia="zh-CN" w:bidi="ar"/>
              </w:rPr>
            </w:pPr>
            <w:r>
              <w:rPr>
                <w:rFonts w:hint="eastAsia" w:ascii="宋体" w:hAnsi="宋体" w:eastAsia="宋体" w:cs="宋体"/>
                <w:i w:val="0"/>
                <w:iCs w:val="0"/>
                <w:color w:val="auto"/>
                <w:kern w:val="0"/>
                <w:sz w:val="21"/>
                <w:szCs w:val="21"/>
                <w:u w:val="none"/>
                <w:vertAlign w:val="baseline"/>
                <w:lang w:val="en-US" w:eastAsia="zh-CN" w:bidi="ar"/>
              </w:rPr>
              <w:t>≤0.5mg/kg</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sz w:val="32"/>
          <w:szCs w:val="32"/>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320" w:firstLineChars="1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黑体" w:hAnsi="黑体" w:eastAsia="黑体" w:cs="黑体"/>
          <w:b w:val="0"/>
          <w:bCs w:val="0"/>
          <w:sz w:val="32"/>
          <w:szCs w:val="32"/>
          <w:lang w:val="en-US" w:eastAsia="zh-CN"/>
        </w:rPr>
        <w:t>一、氯氟氰菊酯和高效氯氟氰菊酯</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氯氟氰菊酯和高效氯氟氰菊酯都属于拟除虫菊酯类杀虫剂，它们通过抑制昆虫神经轴突部位的传导来杀死害虫。然而，这类化学品对人类也可能造成一定的危害。以下是这两种物质对人体可能造成的危害：</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刺激性反应：氯氟氰菊酯和高效氯氟氰菊酯喷洒后，会释放有害物质，对皮肤和眼睛产生刺激性反应，容易造成皮肤灼烧、起泡等症状，同时会导致眼结膜充血、肿胀和眼痛等不适感受。</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神经毒性：这两类物质都有可能对人类的神经系统产生直接影响。如果接触过多，可能会引起头痛、头晕、恶心、呕吐等症状，甚至会出现神经过敏。</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致癌性：高效氯氟氰菊酯的主要成分属于有机磷类农药，与多种癌症的发生有着一定的关联。过量的摄入可能会对人体产生长期的致癌危害，严重威胁人体健康。</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对儿童和孕妇的危害：儿童和孕妇对这两类物质都是比较敏感的人群，接触过多可能会影响儿童和胎儿的生长发育，甚至引起畸形等永久性影响。</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全身中毒：氯氟氰菊酯的毒性较强，如果大量接触或意外摄入，可能导致全身中毒症状，出现头晕、头痛、意识障碍以及休克等全身中毒现象。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lang w:val="en-US" w:eastAsia="zh-CN"/>
        </w:rPr>
      </w:pPr>
      <w:r>
        <w:rPr>
          <w:rFonts w:hint="eastAsia" w:ascii="黑体" w:hAnsi="黑体" w:eastAsia="黑体" w:cs="黑体"/>
          <w:b w:val="0"/>
          <w:bCs w:val="0"/>
          <w:sz w:val="32"/>
          <w:szCs w:val="32"/>
          <w:lang w:val="en-US" w:eastAsia="zh-CN"/>
        </w:rPr>
        <w:t>二、</w:t>
      </w:r>
      <w:r>
        <w:rPr>
          <w:rFonts w:hint="default" w:ascii="黑体" w:hAnsi="黑体" w:eastAsia="黑体" w:cs="黑体"/>
          <w:b w:val="0"/>
          <w:bCs w:val="0"/>
          <w:sz w:val="32"/>
          <w:szCs w:val="32"/>
          <w:lang w:val="en-US" w:eastAsia="zh-CN"/>
        </w:rPr>
        <w:t>吡唑醚菌酯</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吡唑醚菌酯，是具有保护、治疗和传导作用的杀菌剂。食用食品一般不会导致吡唑醚菌酯的急性中毒，但长期食用吡唑醚菌酯超标的食品，对人体健康有一定影响。《食品安全国家标准食品中农药最大残留限量》（GB 2763-2021）中规定，芒果中吡唑醚菌酯残留量不得超过 0.05mg/kg。超标的原因可能是农户为控制虫害，加大了用药量或未遵守采摘间隔期规定。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320" w:firstLineChars="1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三、除虫脲</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除虫脲非内吸性昆虫生长调节剂，具有触杀和胃毒作用。在昆虫蜕皮或者卵的孵化时起效。用于林业、观赏乔木和果树，防治多种食叶昆虫。用于棉花、大豆、柑橘、茶树、蔬菜、水稻、花生、树生坚果和蘑菇，防治一些主要害虫。也用于防治蝇类、蚊类、蚱蜢、摩门蟋蟀和迁徙性蝗虫的幼虫。大鼠急性经口 LD50 &gt;4640mg/kg，急性毒性分级为低毒级。属于苯甲酰脲类杀虫剂。除虫脲在体内水解产生氯苯胺，有引起高铁血红蛋白症的危险，但对接触除虫脲的人群，未见中毒报告。食用食品一般不会导致除虫脲的急性中毒，但长期食用除虫脲超标的食品，对人体健康也有一定影响。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联合国粮农组织和世界卫生组织农药残留联席会议（JMPR）于 2001 年制定了其日容 许摄入量（ADI）为 0.02mg/kg bw，我国《食品安全国家标准 食品中农药最大残留限量》（GB 2763-2021）中 ADI 值亦为 0.02mg/kg bw。</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腈苯唑</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在植株体内，具有残留保护活性和低输导性的穿透性杀菌剂。用于防治谷类作物壳针孢属病害、葡萄白粉病和黑腐病、核果白粉病和核盘菌、苹果黑星病和白粉病。防治包括果树、坚果、柑橘、香蕉、水稻和蔬菜等多种作物的多种病害。大鼠急性经口 LD50 为 2000mg/kg，急性毒性分级为低毒级。有机杂环类杀菌剂，经口毒性低，一般只对皮肤有刺激性，若引起中毒，其症状表现为头晕、恶心、呕吐等。食用食品一般不会导致腈苯唑的急性中毒，但长期食用腈苯唑超标的食品，对人体健康也有一定影响。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联合国粮农组织和世界卫生组织农药残留联席会议（JMPR）1997 年制定了其日容许摄入量（ADI）为 0.03mg/kg bw，我国《食品安全国家标准 食品中农药最大残留限量》（GB2763-2021）中 ADI 值亦为 0.03mg/kg bw。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五、大肠菌群</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包括肠杆菌科的埃希氏菌属、柠檬酸杆菌属、肠杆菌属和克雷伯菌属。这些菌属中的细菌，主要来自人和温血动物的肠道，需氧与兼性厌氧，不形成芽孢，在 35℃~37℃下能发酵乳糖产酸产气的革兰氏阴性杆菌。食品中大肠菌群的数量可以采用相当于每克或每毫升食品的最近似数来表示，简称大肠菌群最近似数（MPN）；也可以采用菌落形成单位（CFU）表示。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大肠菌群是国内外常用的指示性指标之一。其卫生学意义：一是作为食品受到人与温血动物粪便污染的指示菌；二是作为肠道致病菌污染食品的指示菌，提示食品被致病菌（如沙门氏菌、志贺氏菌、致泻大肠埃希氏菌等）污染的可能性较大。食品中大肠菌群不合格，说明食品存在卫生质量缺陷，对人体健康具有潜在危害。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大肠菌群超标可能由于产品的加工原料、包装材料受污染，或在生产过程中产品受人员、工器具等生产设备、环境的污染，有加热处理工艺的产品加热不彻底而导致。</w:t>
      </w:r>
    </w:p>
    <w:p>
      <w:pPr>
        <w:pStyle w:val="2"/>
        <w:rPr>
          <w:rFonts w:hint="eastAsia"/>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7C9B49"/>
    <w:multiLevelType w:val="singleLevel"/>
    <w:tmpl w:val="EF7C9B4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WZiNWQyYzYyMTViYmM2NTVlMTQyNzU2MTM3ZjYifQ=="/>
  </w:docVars>
  <w:rsids>
    <w:rsidRoot w:val="352A30F2"/>
    <w:rsid w:val="015E536F"/>
    <w:rsid w:val="04F40BA4"/>
    <w:rsid w:val="0FB6751E"/>
    <w:rsid w:val="16310FCE"/>
    <w:rsid w:val="253A00EB"/>
    <w:rsid w:val="2FBC3540"/>
    <w:rsid w:val="31CA0CFF"/>
    <w:rsid w:val="352A30F2"/>
    <w:rsid w:val="35E03EB2"/>
    <w:rsid w:val="35F16764"/>
    <w:rsid w:val="364061C6"/>
    <w:rsid w:val="36CA0CF7"/>
    <w:rsid w:val="3A8341F2"/>
    <w:rsid w:val="3B697572"/>
    <w:rsid w:val="3E9E5B13"/>
    <w:rsid w:val="3ECC24D6"/>
    <w:rsid w:val="42C93C62"/>
    <w:rsid w:val="440F5289"/>
    <w:rsid w:val="4D0C303A"/>
    <w:rsid w:val="4DCF5199"/>
    <w:rsid w:val="52DA1E7D"/>
    <w:rsid w:val="54C8723E"/>
    <w:rsid w:val="58DD45AA"/>
    <w:rsid w:val="60060553"/>
    <w:rsid w:val="617354E1"/>
    <w:rsid w:val="62B7151B"/>
    <w:rsid w:val="63C51C58"/>
    <w:rsid w:val="68AE62D0"/>
    <w:rsid w:val="6C31559E"/>
    <w:rsid w:val="6F2D3F54"/>
    <w:rsid w:val="777E44F5"/>
    <w:rsid w:val="77E74993"/>
    <w:rsid w:val="7A091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keepLines/>
      <w:spacing w:before="50" w:beforeLines="50"/>
      <w:outlineLvl w:val="1"/>
    </w:pPr>
    <w:rPr>
      <w:b/>
      <w:bCs/>
      <w:sz w:val="30"/>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rPr>
      <w:rFonts w:hAnsi="Calibri"/>
      <w:kern w:val="0"/>
      <w:szCs w:val="20"/>
    </w:rPr>
  </w:style>
  <w:style w:type="paragraph" w:styleId="5">
    <w:name w:val="Plain Text"/>
    <w:basedOn w:val="1"/>
    <w:qFormat/>
    <w:uiPriority w:val="0"/>
    <w:rPr>
      <w:rFonts w:ascii="宋体" w:hAnsi="Courier New"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553</Words>
  <Characters>568</Characters>
  <Lines>0</Lines>
  <Paragraphs>0</Paragraphs>
  <TotalTime>13</TotalTime>
  <ScaleCrop>false</ScaleCrop>
  <LinksUpToDate>false</LinksUpToDate>
  <CharactersWithSpaces>568</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2024-06-21T00:53:00Z</dcterms:created>
  <dc:creator>邓小羊</dc:creator>
  <cp:lastModifiedBy>谭文婷</cp:lastModifiedBy>
  <cp:lastPrinted>2025-05-14T07:27:00Z</cp:lastPrinted>
  <dcterms:modified xsi:type="dcterms:W3CDTF">2025-07-14T07:27:39Z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7A077D3C4DC5411BA9D61F59278C085B</vt:lpwstr>
  </property>
  <property fmtid="{D5CDD505-2E9C-101B-9397-08002B2CF9AE}" pid="4" name="KSOTemplateDocerSaveRecord">
    <vt:lpwstr>eyJoZGlkIjoiYzkxOTkzNjk4MDg4MGJmYTZjYjQzOGJkNzJhNGExNTIiLCJ1c2VySWQiOiIyODI0NzA3NTUifQ==</vt:lpwstr>
  </property>
</Properties>
</file>