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8"/>
          <w:rFonts w:hint="eastAsia" w:ascii="黑体" w:hAnsi="黑体" w:eastAsia="黑体" w:cs="黑体"/>
          <w:b w:val="0"/>
          <w:bCs/>
          <w:i w:val="0"/>
          <w:iCs w:val="0"/>
          <w:caps w:val="0"/>
          <w:color w:val="000000"/>
          <w:spacing w:val="0"/>
          <w:sz w:val="32"/>
          <w:szCs w:val="32"/>
          <w:shd w:val="clear" w:color="auto" w:fill="FFFFFF"/>
        </w:rPr>
      </w:pPr>
      <w:r>
        <w:rPr>
          <w:rStyle w:val="8"/>
          <w:rFonts w:hint="eastAsia" w:ascii="黑体" w:hAnsi="黑体" w:eastAsia="黑体" w:cs="黑体"/>
          <w:b w:val="0"/>
          <w:bCs/>
          <w:i w:val="0"/>
          <w:iCs w:val="0"/>
          <w:caps w:val="0"/>
          <w:color w:val="000000"/>
          <w:spacing w:val="0"/>
          <w:sz w:val="32"/>
          <w:szCs w:val="32"/>
          <w:shd w:val="clear" w:color="auto" w:fill="FFFFFF"/>
        </w:rPr>
        <w:t>附件</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8"/>
          <w:rFonts w:hint="default" w:ascii="黑体" w:hAnsi="黑体" w:eastAsia="黑体" w:cs="黑体"/>
          <w:b w:val="0"/>
          <w:bCs/>
          <w:i w:val="0"/>
          <w:iCs w:val="0"/>
          <w:caps w:val="0"/>
          <w:color w:val="000000"/>
          <w:spacing w:val="0"/>
          <w:sz w:val="28"/>
          <w:szCs w:val="28"/>
          <w:shd w:val="clear" w:color="auto" w:fill="FFFFFF"/>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aps w:val="0"/>
          <w:color w:val="282828"/>
          <w:spacing w:val="0"/>
          <w:sz w:val="44"/>
          <w:szCs w:val="44"/>
          <w:shd w:val="clear" w:color="auto" w:fill="FFFFFF"/>
        </w:rPr>
      </w:pPr>
      <w:r>
        <w:rPr>
          <w:rFonts w:hint="eastAsia" w:ascii="方正小标宋简体" w:hAnsi="方正小标宋简体" w:eastAsia="方正小标宋简体" w:cs="方正小标宋简体"/>
          <w:i w:val="0"/>
          <w:iCs w:val="0"/>
          <w:caps w:val="0"/>
          <w:color w:val="282828"/>
          <w:spacing w:val="0"/>
          <w:sz w:val="44"/>
          <w:szCs w:val="44"/>
          <w:shd w:val="clear" w:color="auto" w:fill="FFFFFF"/>
        </w:rPr>
        <w:t>大亚湾石化区危险化学品车辆专用停车场收费项目的收费标准定价方案（征求意见稿）</w:t>
      </w:r>
    </w:p>
    <w:p>
      <w:pPr>
        <w:keepNext w:val="0"/>
        <w:keepLines w:val="0"/>
        <w:pageBreakBefore w:val="0"/>
        <w:widowControl w:val="0"/>
        <w:kinsoku/>
        <w:wordWrap/>
        <w:overflowPunct/>
        <w:topLinePunct w:val="0"/>
        <w:autoSpaceDE/>
        <w:autoSpaceDN/>
        <w:bidi w:val="0"/>
        <w:adjustRightInd/>
        <w:snapToGrid/>
        <w:spacing w:before="313" w:beforeLines="100"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28"/>
          <w:szCs w:val="28"/>
          <w:shd w:val="clear" w:color="auto" w:fill="FFFFFF"/>
          <w:lang w:val="en-US" w:eastAsia="zh-CN"/>
        </w:rPr>
      </w:pPr>
      <w:r>
        <w:rPr>
          <w:rFonts w:hint="default" w:ascii="Times New Roman" w:hAnsi="Times New Roman" w:eastAsia="仿宋_GB2312" w:cs="Times New Roman"/>
          <w:i w:val="0"/>
          <w:iCs w:val="0"/>
          <w:caps w:val="0"/>
          <w:color w:val="000000"/>
          <w:spacing w:val="0"/>
          <w:sz w:val="32"/>
          <w:szCs w:val="32"/>
          <w:shd w:val="clear" w:color="auto" w:fill="FFFFFF"/>
        </w:rPr>
        <w:t>为规范大亚湾石化区危险化学品运输车辆的停放，降低危化品运输车辆分散滞留大亚湾石化区导致的安全风险,根据《广东省定价目录（2022年版）》《政府制定价格行为规则》（国家发展和改革委员会令〔2017〕第7号令）</w:t>
      </w:r>
      <w:r>
        <w:rPr>
          <w:rFonts w:hint="default" w:ascii="Times New Roman" w:hAnsi="Times New Roman" w:eastAsia="仿宋_GB2312" w:cs="Times New Roman"/>
          <w:i w:val="0"/>
          <w:iCs w:val="0"/>
          <w:caps w:val="0"/>
          <w:color w:val="000000"/>
          <w:spacing w:val="0"/>
          <w:sz w:val="32"/>
          <w:szCs w:val="32"/>
          <w:shd w:val="clear" w:color="auto" w:fill="FFFFFF"/>
          <w:lang w:eastAsia="zh-CN"/>
        </w:rPr>
        <w:t>和</w:t>
      </w:r>
      <w:r>
        <w:rPr>
          <w:rFonts w:hint="default" w:ascii="Times New Roman" w:hAnsi="Times New Roman" w:eastAsia="仿宋_GB2312" w:cs="Times New Roman"/>
          <w:color w:val="auto"/>
          <w:sz w:val="32"/>
          <w:szCs w:val="32"/>
          <w:highlight w:val="none"/>
          <w:lang w:val="en-US" w:eastAsia="zh-CN"/>
        </w:rPr>
        <w:t>《惠州市停车场建设与管理办法》（2021年10月11日惠州市人民政府令第97号公布</w:t>
      </w:r>
      <w:r>
        <w:rPr>
          <w:rFonts w:hint="eastAsia"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shd w:val="clear" w:color="auto" w:fill="FFFFFF"/>
          <w:lang w:eastAsia="zh-CN"/>
        </w:rPr>
        <w:t>的规定，</w:t>
      </w:r>
      <w:r>
        <w:rPr>
          <w:rFonts w:hint="default" w:ascii="Times New Roman" w:hAnsi="Times New Roman" w:eastAsia="仿宋_GB2312" w:cs="Times New Roman"/>
          <w:i w:val="0"/>
          <w:iCs w:val="0"/>
          <w:caps w:val="0"/>
          <w:color w:val="000000"/>
          <w:spacing w:val="0"/>
          <w:sz w:val="32"/>
          <w:szCs w:val="32"/>
          <w:shd w:val="clear" w:color="auto" w:fill="FFFFFF"/>
          <w:lang w:val="en-US" w:eastAsia="zh-CN"/>
        </w:rPr>
        <w:t>拟定本方案。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8"/>
          <w:rFonts w:hint="eastAsia" w:ascii="仿宋_GB2312" w:hAnsi="仿宋_GB2312" w:eastAsia="仿宋_GB2312" w:cs="仿宋_GB2312"/>
          <w:i w:val="0"/>
          <w:iCs w:val="0"/>
          <w:caps w:val="0"/>
          <w:color w:val="000000"/>
          <w:spacing w:val="0"/>
          <w:sz w:val="28"/>
          <w:szCs w:val="28"/>
          <w:shd w:val="clear" w:color="auto" w:fill="FFFFFF"/>
        </w:rPr>
        <w:t>　</w:t>
      </w:r>
      <w:r>
        <w:rPr>
          <w:rStyle w:val="8"/>
          <w:rFonts w:hint="eastAsia" w:ascii="黑体" w:hAnsi="黑体" w:eastAsia="黑体" w:cs="黑体"/>
          <w:b w:val="0"/>
          <w:bCs/>
          <w:i w:val="0"/>
          <w:iCs w:val="0"/>
          <w:caps w:val="0"/>
          <w:color w:val="000000"/>
          <w:spacing w:val="0"/>
          <w:sz w:val="32"/>
          <w:szCs w:val="32"/>
          <w:shd w:val="clear" w:color="auto" w:fill="FFFFFF"/>
        </w:rPr>
        <w:t>　一、收费范围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b/>
          <w:bCs/>
          <w:i w:val="0"/>
          <w:iCs w:val="0"/>
          <w:caps w:val="0"/>
          <w:color w:val="000000"/>
          <w:spacing w:val="0"/>
          <w:sz w:val="32"/>
          <w:szCs w:val="32"/>
          <w:shd w:val="clear" w:color="auto" w:fill="FFFFFF"/>
          <w:lang w:val="en-US" w:eastAsia="zh-CN"/>
        </w:rPr>
      </w:pPr>
      <w:r>
        <w:rPr>
          <w:rFonts w:hint="default" w:ascii="Times New Roman" w:hAnsi="Times New Roman" w:eastAsia="仿宋_GB2312" w:cs="Times New Roman"/>
          <w:i w:val="0"/>
          <w:iCs w:val="0"/>
          <w:caps w:val="0"/>
          <w:color w:val="000000"/>
          <w:spacing w:val="0"/>
          <w:sz w:val="32"/>
          <w:szCs w:val="32"/>
          <w:shd w:val="clear" w:color="auto" w:fill="FFFFFF"/>
        </w:rPr>
        <w:t>本方案实施范围为</w:t>
      </w:r>
      <w:r>
        <w:rPr>
          <w:rFonts w:hint="default" w:ascii="Times New Roman" w:hAnsi="Times New Roman" w:eastAsia="仿宋_GB2312" w:cs="Times New Roman"/>
          <w:i w:val="0"/>
          <w:iCs w:val="0"/>
          <w:caps w:val="0"/>
          <w:color w:val="000000"/>
          <w:spacing w:val="0"/>
          <w:sz w:val="32"/>
          <w:szCs w:val="32"/>
          <w:shd w:val="clear" w:color="auto" w:fill="FFFFFF"/>
          <w:lang w:eastAsia="zh-CN"/>
        </w:rPr>
        <w:t>为危化品停车场合计113个停车泊位，其中危险化学品车辆停放泊位（空车、含应急避险停车泊位5个）69个、一般化学品车辆停车泊位（空车）44个。</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实施收费的具体时间，以区经济发展和统计局的公告为准。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Style w:val="8"/>
          <w:rFonts w:hint="eastAsia" w:ascii="黑体" w:hAnsi="黑体" w:eastAsia="黑体" w:cs="黑体"/>
          <w:b w:val="0"/>
          <w:bCs/>
          <w:i w:val="0"/>
          <w:iCs w:val="0"/>
          <w:caps w:val="0"/>
          <w:color w:val="000000"/>
          <w:spacing w:val="0"/>
          <w:sz w:val="32"/>
          <w:szCs w:val="32"/>
          <w:shd w:val="clear" w:color="auto" w:fill="FFFFFF"/>
        </w:rPr>
      </w:pPr>
      <w:r>
        <w:rPr>
          <w:rStyle w:val="8"/>
          <w:rFonts w:hint="eastAsia" w:ascii="黑体" w:hAnsi="黑体" w:eastAsia="黑体" w:cs="黑体"/>
          <w:b w:val="0"/>
          <w:bCs/>
          <w:i w:val="0"/>
          <w:iCs w:val="0"/>
          <w:caps w:val="0"/>
          <w:color w:val="000000"/>
          <w:spacing w:val="0"/>
          <w:sz w:val="32"/>
          <w:szCs w:val="32"/>
          <w:shd w:val="clear" w:color="auto" w:fill="FFFFFF"/>
        </w:rPr>
        <w:t>二、定价模式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rPr>
        <w:t>　　大亚湾石化区危险化学品车辆专用停车场危险化学品车辆停放服务费收费实行政府指导价管理，政府指导价为最高限价，不得上浮，下浮不限。在政府指导价范围内，由收费主体制定停车场具体收费标准，并保持收费标准相对稳定</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8"/>
          <w:rFonts w:hint="eastAsia" w:ascii="仿宋_GB2312" w:hAnsi="仿宋_GB2312" w:eastAsia="仿宋_GB2312" w:cs="仿宋_GB2312"/>
          <w:i w:val="0"/>
          <w:iCs w:val="0"/>
          <w:caps w:val="0"/>
          <w:color w:val="000000"/>
          <w:spacing w:val="0"/>
          <w:sz w:val="32"/>
          <w:szCs w:val="32"/>
          <w:shd w:val="clear" w:color="auto" w:fill="FFFFFF"/>
        </w:rPr>
        <w:t>　　</w:t>
      </w:r>
      <w:r>
        <w:rPr>
          <w:rStyle w:val="8"/>
          <w:rFonts w:hint="eastAsia" w:ascii="黑体" w:hAnsi="黑体" w:eastAsia="黑体" w:cs="黑体"/>
          <w:b w:val="0"/>
          <w:bCs/>
          <w:i w:val="0"/>
          <w:iCs w:val="0"/>
          <w:caps w:val="0"/>
          <w:color w:val="000000"/>
          <w:spacing w:val="0"/>
          <w:sz w:val="32"/>
          <w:szCs w:val="32"/>
          <w:shd w:val="clear" w:color="auto" w:fill="FFFFFF"/>
        </w:rPr>
        <w:t>三、收费主体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color="auto" w:fill="FFFFFF"/>
          <w:lang w:eastAsia="zh-CN"/>
        </w:rPr>
      </w:pPr>
      <w:r>
        <w:rPr>
          <w:rFonts w:hint="eastAsia" w:ascii="Times New Roman" w:hAnsi="Times New Roman" w:eastAsia="仿宋_GB2312" w:cs="Times New Roman"/>
          <w:i w:val="0"/>
          <w:iCs w:val="0"/>
          <w:caps w:val="0"/>
          <w:color w:val="000000"/>
          <w:spacing w:val="0"/>
          <w:sz w:val="32"/>
          <w:szCs w:val="32"/>
          <w:shd w:val="clear" w:color="auto" w:fill="FFFFFF"/>
          <w:lang w:val="en-US" w:eastAsia="zh-CN"/>
        </w:rPr>
        <w:t>停车场</w:t>
      </w:r>
      <w:r>
        <w:rPr>
          <w:rFonts w:hint="eastAsia" w:ascii="Times New Roman" w:hAnsi="Times New Roman" w:eastAsia="仿宋_GB2312" w:cs="Times New Roman"/>
          <w:i w:val="0"/>
          <w:iCs w:val="0"/>
          <w:caps w:val="0"/>
          <w:color w:val="000000"/>
          <w:spacing w:val="0"/>
          <w:sz w:val="32"/>
          <w:szCs w:val="32"/>
          <w:shd w:val="clear" w:color="auto" w:fill="FFFFFF"/>
          <w:lang w:eastAsia="zh-CN"/>
        </w:rPr>
        <w:t>由惠州港湾置业投资有限公司（以下简称“港湾置业有限公司”）负责建设，具体收费主体为惠州港湾置业投资有限公司。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8"/>
          <w:rFonts w:hint="eastAsia" w:ascii="仿宋_GB2312" w:hAnsi="仿宋_GB2312" w:eastAsia="仿宋_GB2312" w:cs="仿宋_GB2312"/>
          <w:i w:val="0"/>
          <w:iCs w:val="0"/>
          <w:caps w:val="0"/>
          <w:color w:val="000000"/>
          <w:spacing w:val="0"/>
          <w:sz w:val="32"/>
          <w:szCs w:val="32"/>
          <w:shd w:val="clear" w:color="auto" w:fill="FFFFFF"/>
        </w:rPr>
        <w:t>　　</w:t>
      </w:r>
      <w:r>
        <w:rPr>
          <w:rStyle w:val="8"/>
          <w:rFonts w:hint="eastAsia" w:ascii="黑体" w:hAnsi="黑体" w:eastAsia="黑体" w:cs="黑体"/>
          <w:b w:val="0"/>
          <w:bCs/>
          <w:i w:val="0"/>
          <w:iCs w:val="0"/>
          <w:caps w:val="0"/>
          <w:color w:val="000000"/>
          <w:spacing w:val="0"/>
          <w:sz w:val="32"/>
          <w:szCs w:val="32"/>
          <w:shd w:val="clear" w:color="auto" w:fill="FFFFFF"/>
        </w:rPr>
        <w:t>四、收费标准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color="auto" w:fill="FFFFFF"/>
          <w:lang w:val="en-US" w:eastAsia="zh-CN"/>
        </w:rPr>
      </w:pPr>
      <w:r>
        <w:rPr>
          <w:rFonts w:hint="eastAsia" w:ascii="Times New Roman" w:hAnsi="Times New Roman" w:eastAsia="仿宋_GB2312" w:cs="Times New Roman"/>
          <w:i w:val="0"/>
          <w:iCs w:val="0"/>
          <w:caps w:val="0"/>
          <w:color w:val="000000"/>
          <w:spacing w:val="0"/>
          <w:sz w:val="32"/>
          <w:szCs w:val="32"/>
          <w:shd w:val="clear" w:color="auto" w:fill="FFFFFF"/>
          <w:lang w:val="en-US" w:eastAsia="zh-CN"/>
        </w:rPr>
        <w:t>本方案危险化学品车辆专用停车场收费则按车型及停放时长收费。在充分考虑社会承受能力、保障正常经营管理和参考国内有关危化品停车场收费标准的基础上，区经济发展和统计局对大亚湾石化区危险化学品车辆专用停车场草拟了两套收费标准定价方案，征求社会各界意见，具体见附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8"/>
          <w:rFonts w:hint="eastAsia" w:ascii="仿宋_GB2312" w:hAnsi="仿宋_GB2312" w:eastAsia="仿宋_GB2312" w:cs="仿宋_GB2312"/>
          <w:i w:val="0"/>
          <w:iCs w:val="0"/>
          <w:caps w:val="0"/>
          <w:color w:val="000000"/>
          <w:spacing w:val="0"/>
          <w:sz w:val="32"/>
          <w:szCs w:val="32"/>
          <w:shd w:val="clear" w:color="auto" w:fill="FFFFFF"/>
        </w:rPr>
        <w:t>　　</w:t>
      </w:r>
      <w:r>
        <w:rPr>
          <w:rStyle w:val="8"/>
          <w:rFonts w:hint="eastAsia" w:ascii="黑体" w:hAnsi="黑体" w:eastAsia="黑体" w:cs="黑体"/>
          <w:b w:val="0"/>
          <w:bCs/>
          <w:i w:val="0"/>
          <w:iCs w:val="0"/>
          <w:caps w:val="0"/>
          <w:color w:val="000000"/>
          <w:spacing w:val="0"/>
          <w:sz w:val="32"/>
          <w:szCs w:val="32"/>
          <w:shd w:val="clear" w:color="auto" w:fill="FFFFFF"/>
        </w:rPr>
        <w:t>五、收费方式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color="auto" w:fill="FFFFFF"/>
          <w:lang w:val="en-US" w:eastAsia="zh-CN"/>
        </w:rPr>
      </w:pPr>
      <w:r>
        <w:rPr>
          <w:rFonts w:hint="eastAsia" w:ascii="Times New Roman" w:hAnsi="Times New Roman" w:eastAsia="仿宋_GB2312" w:cs="Times New Roman"/>
          <w:i w:val="0"/>
          <w:iCs w:val="0"/>
          <w:caps w:val="0"/>
          <w:color w:val="000000"/>
          <w:spacing w:val="0"/>
          <w:sz w:val="32"/>
          <w:szCs w:val="32"/>
          <w:shd w:val="clear" w:color="auto" w:fill="FFFFFF"/>
          <w:lang w:val="en-US" w:eastAsia="zh-CN"/>
        </w:rPr>
        <w:t>车辆进入停车泊位后，前端智能设备自动记录车牌号和入场时间并进行计费，离场时车主可自主使用手机小程序等前端软件即可快速缴费离场。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000000"/>
          <w:spacing w:val="0"/>
          <w:sz w:val="32"/>
          <w:szCs w:val="32"/>
        </w:rPr>
      </w:pPr>
      <w:r>
        <w:rPr>
          <w:rStyle w:val="8"/>
          <w:rFonts w:hint="eastAsia" w:ascii="仿宋_GB2312" w:hAnsi="仿宋_GB2312" w:eastAsia="仿宋_GB2312" w:cs="仿宋_GB2312"/>
          <w:i w:val="0"/>
          <w:iCs w:val="0"/>
          <w:caps w:val="0"/>
          <w:color w:val="000000"/>
          <w:spacing w:val="0"/>
          <w:sz w:val="32"/>
          <w:szCs w:val="32"/>
          <w:shd w:val="clear" w:color="auto" w:fill="FFFFFF"/>
        </w:rPr>
        <w:t>　　</w:t>
      </w:r>
      <w:r>
        <w:rPr>
          <w:rStyle w:val="8"/>
          <w:rFonts w:hint="eastAsia" w:ascii="黑体" w:hAnsi="黑体" w:eastAsia="黑体" w:cs="黑体"/>
          <w:b w:val="0"/>
          <w:bCs/>
          <w:i w:val="0"/>
          <w:iCs w:val="0"/>
          <w:caps w:val="0"/>
          <w:color w:val="000000"/>
          <w:spacing w:val="0"/>
          <w:sz w:val="32"/>
          <w:szCs w:val="32"/>
          <w:shd w:val="clear" w:color="auto" w:fill="FFFFFF"/>
        </w:rPr>
        <w:t>六、其他事项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收费单位应依法纳税，使用税务票据，并自觉接受社会各界和政府职能部门的监督。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40"/>
        <w:jc w:val="left"/>
        <w:rPr>
          <w:rFonts w:hint="eastAsia" w:ascii="仿宋_GB2312" w:hAnsi="仿宋_GB2312" w:eastAsia="仿宋_GB2312" w:cs="仿宋_GB2312"/>
          <w:i w:val="0"/>
          <w:iCs w:val="0"/>
          <w:caps w:val="0"/>
          <w:color w:val="000000"/>
          <w:spacing w:val="0"/>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jc w:val="left"/>
        <w:rPr>
          <w:rFonts w:hint="eastAsia" w:ascii="仿宋_GB2312" w:hAnsi="仿宋_GB2312" w:eastAsia="仿宋_GB2312" w:cs="仿宋_GB2312"/>
          <w:i w:val="0"/>
          <w:iCs w:val="0"/>
          <w:caps w:val="0"/>
          <w:color w:val="000000"/>
          <w:spacing w:val="0"/>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jc w:val="left"/>
        <w:rPr>
          <w:rFonts w:hint="eastAsia" w:ascii="仿宋_GB2312" w:hAnsi="仿宋_GB2312" w:eastAsia="仿宋_GB2312" w:cs="仿宋_GB2312"/>
          <w:i w:val="0"/>
          <w:iCs w:val="0"/>
          <w:caps w:val="0"/>
          <w:color w:val="000000"/>
          <w:spacing w:val="0"/>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jc w:val="left"/>
        <w:rPr>
          <w:rFonts w:hint="eastAsia" w:ascii="仿宋_GB2312" w:hAnsi="仿宋_GB2312" w:eastAsia="仿宋_GB2312" w:cs="仿宋_GB2312"/>
          <w:i w:val="0"/>
          <w:iCs w:val="0"/>
          <w:caps w:val="0"/>
          <w:color w:val="000000"/>
          <w:spacing w:val="0"/>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jc w:val="left"/>
        <w:rPr>
          <w:rFonts w:hint="eastAsia" w:ascii="仿宋_GB2312" w:hAnsi="仿宋_GB2312" w:eastAsia="仿宋_GB2312" w:cs="仿宋_GB2312"/>
          <w:i w:val="0"/>
          <w:iCs w:val="0"/>
          <w:caps w:val="0"/>
          <w:color w:val="000000"/>
          <w:spacing w:val="0"/>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0"/>
        <w:jc w:val="left"/>
        <w:rPr>
          <w:rStyle w:val="8"/>
          <w:rFonts w:hint="eastAsia" w:ascii="黑体" w:hAnsi="黑体" w:eastAsia="黑体" w:cs="黑体"/>
          <w:b w:val="0"/>
          <w:bCs/>
          <w:i w:val="0"/>
          <w:iCs w:val="0"/>
          <w:caps w:val="0"/>
          <w:color w:val="000000"/>
          <w:spacing w:val="0"/>
          <w:sz w:val="28"/>
          <w:szCs w:val="28"/>
          <w:shd w:val="clear" w:color="auto" w:fill="FFFFFF"/>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0"/>
        <w:jc w:val="left"/>
        <w:rPr>
          <w:rStyle w:val="8"/>
          <w:rFonts w:hint="eastAsia" w:ascii="黑体" w:hAnsi="黑体" w:eastAsia="黑体" w:cs="黑体"/>
          <w:b w:val="0"/>
          <w:bCs/>
          <w:i w:val="0"/>
          <w:iCs w:val="0"/>
          <w:caps w:val="0"/>
          <w:color w:val="000000"/>
          <w:spacing w:val="0"/>
          <w:sz w:val="28"/>
          <w:szCs w:val="28"/>
          <w:shd w:val="clear" w:color="auto" w:fill="FFFFFF"/>
          <w:lang w:eastAsia="zh-CN"/>
        </w:rPr>
      </w:pPr>
      <w:r>
        <w:rPr>
          <w:rStyle w:val="8"/>
          <w:rFonts w:hint="eastAsia" w:ascii="黑体" w:hAnsi="黑体" w:eastAsia="黑体" w:cs="黑体"/>
          <w:b w:val="0"/>
          <w:bCs/>
          <w:i w:val="0"/>
          <w:iCs w:val="0"/>
          <w:caps w:val="0"/>
          <w:color w:val="000000"/>
          <w:spacing w:val="0"/>
          <w:sz w:val="28"/>
          <w:szCs w:val="28"/>
          <w:shd w:val="clear" w:color="auto" w:fill="FFFFFF"/>
          <w:lang w:val="en-US" w:eastAsia="zh-CN"/>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黑体" w:hAnsi="黑体" w:eastAsia="黑体" w:cs="黑体"/>
          <w:b w:val="0"/>
          <w:bCs w:val="0"/>
          <w:sz w:val="36"/>
          <w:szCs w:val="36"/>
          <w:lang w:eastAsia="zh-CN"/>
        </w:rPr>
      </w:pPr>
      <w:r>
        <w:rPr>
          <w:rFonts w:hint="eastAsia" w:ascii="黑体" w:hAnsi="黑体" w:eastAsia="黑体" w:cs="黑体"/>
          <w:b w:val="0"/>
          <w:bCs w:val="0"/>
          <w:i w:val="0"/>
          <w:iCs w:val="0"/>
          <w:caps w:val="0"/>
          <w:color w:val="000000"/>
          <w:spacing w:val="0"/>
          <w:sz w:val="28"/>
          <w:szCs w:val="28"/>
        </w:rPr>
        <w:t>大亚湾石化区危险化学品车辆停车收费标准</w:t>
      </w:r>
      <w:r>
        <w:rPr>
          <w:rFonts w:hint="eastAsia" w:ascii="黑体" w:hAnsi="黑体" w:eastAsia="黑体" w:cs="黑体"/>
          <w:b w:val="0"/>
          <w:bCs w:val="0"/>
          <w:i w:val="0"/>
          <w:iCs w:val="0"/>
          <w:caps w:val="0"/>
          <w:color w:val="000000"/>
          <w:spacing w:val="0"/>
          <w:sz w:val="28"/>
          <w:szCs w:val="28"/>
          <w:lang w:eastAsia="zh-CN"/>
        </w:rPr>
        <w:t>定价</w:t>
      </w:r>
      <w:r>
        <w:rPr>
          <w:rFonts w:hint="eastAsia" w:ascii="黑体" w:hAnsi="黑体" w:eastAsia="黑体" w:cs="黑体"/>
          <w:b w:val="0"/>
          <w:bCs w:val="0"/>
          <w:i w:val="0"/>
          <w:iCs w:val="0"/>
          <w:caps w:val="0"/>
          <w:color w:val="000000"/>
          <w:spacing w:val="0"/>
          <w:sz w:val="28"/>
          <w:szCs w:val="28"/>
        </w:rPr>
        <w:t>方案</w:t>
      </w:r>
      <w:r>
        <w:rPr>
          <w:rFonts w:hint="eastAsia" w:ascii="黑体" w:hAnsi="黑体" w:eastAsia="黑体" w:cs="黑体"/>
          <w:b w:val="0"/>
          <w:bCs w:val="0"/>
          <w:i w:val="0"/>
          <w:iCs w:val="0"/>
          <w:caps w:val="0"/>
          <w:color w:val="000000"/>
          <w:spacing w:val="0"/>
          <w:sz w:val="28"/>
          <w:szCs w:val="28"/>
          <w:lang w:eastAsia="zh-CN"/>
        </w:rPr>
        <w:t>（</w:t>
      </w:r>
      <w:r>
        <w:rPr>
          <w:rFonts w:hint="eastAsia" w:ascii="黑体" w:hAnsi="黑体" w:eastAsia="黑体" w:cs="黑体"/>
          <w:b w:val="0"/>
          <w:bCs w:val="0"/>
          <w:i w:val="0"/>
          <w:iCs w:val="0"/>
          <w:caps w:val="0"/>
          <w:color w:val="000000"/>
          <w:spacing w:val="0"/>
          <w:sz w:val="28"/>
          <w:szCs w:val="28"/>
          <w:lang w:val="en-US" w:eastAsia="zh-CN"/>
        </w:rPr>
        <w:t>一</w:t>
      </w:r>
      <w:r>
        <w:rPr>
          <w:rFonts w:hint="eastAsia" w:ascii="黑体" w:hAnsi="黑体" w:eastAsia="黑体" w:cs="黑体"/>
          <w:b w:val="0"/>
          <w:bCs w:val="0"/>
          <w:i w:val="0"/>
          <w:iCs w:val="0"/>
          <w:caps w:val="0"/>
          <w:color w:val="000000"/>
          <w:spacing w:val="0"/>
          <w:sz w:val="28"/>
          <w:szCs w:val="28"/>
          <w:lang w:eastAsia="zh-CN"/>
        </w:rPr>
        <w:t>）</w:t>
      </w:r>
    </w:p>
    <w:tbl>
      <w:tblPr>
        <w:tblStyle w:val="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7"/>
        <w:gridCol w:w="3021"/>
        <w:gridCol w:w="3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trPr>
        <w:tc>
          <w:tcPr>
            <w:tcW w:w="1665"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停车时间</w:t>
            </w:r>
          </w:p>
        </w:tc>
        <w:tc>
          <w:tcPr>
            <w:tcW w:w="1667"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空车</w:t>
            </w:r>
          </w:p>
        </w:tc>
        <w:tc>
          <w:tcPr>
            <w:tcW w:w="1667"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重车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0-15分钟（含）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15分钟-1小时（含）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35元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3-4小时（含）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45元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4-5小时（含）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55元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5-6小时（含）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6-7小时（含）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75元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7-8小时（含）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85元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8-9小时（含）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9-10小时（含）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10-11小时（含）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11-12小时（含）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12-13小时（含）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13-14小时（含）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14-15小时（含）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15-16小时（含）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16-17小时（含）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17-18小时（含）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18-19小时（含）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19-20小时（含）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20-21小时（含）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21-22小时（含）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22-23小时（含）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23-24小时（含）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注1</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停车超24小时，重新累计计费。</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3"/>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注2</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重车须在以下情况，且获得有关部门审批通过后，方可驶入</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1</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超出高速准入时间，需停放等候的重车</w:t>
      </w:r>
      <w:r>
        <w:rPr>
          <w:rFonts w:hint="eastAsia"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val="en-US" w:eastAsia="zh-CN"/>
        </w:rPr>
        <w:t>违法违规运输，按相关执法部门安排临时停放的重车</w:t>
      </w:r>
      <w:r>
        <w:rPr>
          <w:rFonts w:hint="eastAsia" w:ascii="Times New Roman" w:hAnsi="Times New Roman" w:eastAsia="仿宋_GB2312" w:cs="Times New Roman"/>
          <w:color w:val="auto"/>
          <w:sz w:val="24"/>
          <w:szCs w:val="24"/>
          <w:highlight w:val="none"/>
          <w:lang w:val="en-US" w:eastAsia="zh-CN"/>
        </w:rPr>
        <w:t>；3.</w:t>
      </w:r>
      <w:r>
        <w:rPr>
          <w:rFonts w:hint="default" w:ascii="Times New Roman" w:hAnsi="Times New Roman" w:eastAsia="仿宋_GB2312" w:cs="Times New Roman"/>
          <w:color w:val="auto"/>
          <w:sz w:val="24"/>
          <w:szCs w:val="24"/>
          <w:highlight w:val="none"/>
          <w:lang w:val="en-US" w:eastAsia="zh-CN"/>
        </w:rPr>
        <w:t>在道路发生车辆故障，需临时停放维修的重车</w:t>
      </w:r>
      <w:r>
        <w:rPr>
          <w:rFonts w:hint="eastAsia"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lang w:val="en-US" w:eastAsia="zh-CN"/>
        </w:rPr>
        <w:t>有关部门的应急处置安排。</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3"/>
        <w:rPr>
          <w:rFonts w:hint="default" w:ascii="Times New Roman" w:hAnsi="Times New Roman" w:eastAsia="仿宋_GB2312" w:cs="Times New Roman"/>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outlineLvl w:val="3"/>
        <w:rPr>
          <w:rFonts w:hint="default" w:ascii="Times New Roman" w:hAnsi="Times New Roman" w:eastAsia="仿宋_GB2312" w:cs="Times New Roman"/>
          <w:color w:val="auto"/>
          <w:sz w:val="24"/>
          <w:szCs w:val="24"/>
          <w:highlight w:val="none"/>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黑体" w:hAnsi="黑体" w:eastAsia="黑体" w:cs="黑体"/>
          <w:b w:val="0"/>
          <w:bCs w:val="0"/>
          <w:sz w:val="36"/>
          <w:szCs w:val="36"/>
          <w:lang w:eastAsia="zh-CN"/>
        </w:rPr>
      </w:pPr>
      <w:r>
        <w:rPr>
          <w:rFonts w:hint="eastAsia" w:ascii="黑体" w:hAnsi="黑体" w:eastAsia="黑体" w:cs="黑体"/>
          <w:b w:val="0"/>
          <w:bCs w:val="0"/>
          <w:i w:val="0"/>
          <w:iCs w:val="0"/>
          <w:caps w:val="0"/>
          <w:color w:val="000000"/>
          <w:spacing w:val="0"/>
          <w:sz w:val="28"/>
          <w:szCs w:val="28"/>
        </w:rPr>
        <w:t>大亚湾石化区危险化学品车辆停车收费标准</w:t>
      </w:r>
      <w:r>
        <w:rPr>
          <w:rFonts w:hint="eastAsia" w:ascii="黑体" w:hAnsi="黑体" w:eastAsia="黑体" w:cs="黑体"/>
          <w:b w:val="0"/>
          <w:bCs w:val="0"/>
          <w:i w:val="0"/>
          <w:iCs w:val="0"/>
          <w:caps w:val="0"/>
          <w:color w:val="000000"/>
          <w:spacing w:val="0"/>
          <w:sz w:val="28"/>
          <w:szCs w:val="28"/>
          <w:lang w:eastAsia="zh-CN"/>
        </w:rPr>
        <w:t>定价</w:t>
      </w:r>
      <w:r>
        <w:rPr>
          <w:rFonts w:hint="eastAsia" w:ascii="黑体" w:hAnsi="黑体" w:eastAsia="黑体" w:cs="黑体"/>
          <w:b w:val="0"/>
          <w:bCs w:val="0"/>
          <w:i w:val="0"/>
          <w:iCs w:val="0"/>
          <w:caps w:val="0"/>
          <w:color w:val="000000"/>
          <w:spacing w:val="0"/>
          <w:sz w:val="28"/>
          <w:szCs w:val="28"/>
        </w:rPr>
        <w:t>方案</w:t>
      </w:r>
      <w:r>
        <w:rPr>
          <w:rFonts w:hint="eastAsia" w:ascii="黑体" w:hAnsi="黑体" w:eastAsia="黑体" w:cs="黑体"/>
          <w:b w:val="0"/>
          <w:bCs w:val="0"/>
          <w:i w:val="0"/>
          <w:iCs w:val="0"/>
          <w:caps w:val="0"/>
          <w:color w:val="000000"/>
          <w:spacing w:val="0"/>
          <w:sz w:val="28"/>
          <w:szCs w:val="28"/>
          <w:lang w:eastAsia="zh-CN"/>
        </w:rPr>
        <w:t>（</w:t>
      </w:r>
      <w:r>
        <w:rPr>
          <w:rFonts w:hint="eastAsia" w:ascii="黑体" w:hAnsi="黑体" w:eastAsia="黑体" w:cs="黑体"/>
          <w:b w:val="0"/>
          <w:bCs w:val="0"/>
          <w:i w:val="0"/>
          <w:iCs w:val="0"/>
          <w:caps w:val="0"/>
          <w:color w:val="000000"/>
          <w:spacing w:val="0"/>
          <w:sz w:val="28"/>
          <w:szCs w:val="28"/>
          <w:lang w:val="en-US" w:eastAsia="zh-CN"/>
        </w:rPr>
        <w:t>二</w:t>
      </w:r>
      <w:r>
        <w:rPr>
          <w:rFonts w:hint="eastAsia" w:ascii="黑体" w:hAnsi="黑体" w:eastAsia="黑体" w:cs="黑体"/>
          <w:b w:val="0"/>
          <w:bCs w:val="0"/>
          <w:i w:val="0"/>
          <w:iCs w:val="0"/>
          <w:caps w:val="0"/>
          <w:color w:val="000000"/>
          <w:spacing w:val="0"/>
          <w:sz w:val="28"/>
          <w:szCs w:val="28"/>
          <w:lang w:eastAsia="zh-CN"/>
        </w:rPr>
        <w:t>）</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7"/>
        <w:gridCol w:w="3020"/>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trPr>
        <w:tc>
          <w:tcPr>
            <w:tcW w:w="1665"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停车时间</w:t>
            </w:r>
          </w:p>
        </w:tc>
        <w:tc>
          <w:tcPr>
            <w:tcW w:w="1667"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空车</w:t>
            </w:r>
          </w:p>
        </w:tc>
        <w:tc>
          <w:tcPr>
            <w:tcW w:w="1667" w:type="pct"/>
            <w:noWrap w:val="0"/>
            <w:vAlign w:val="center"/>
          </w:tcPr>
          <w:p>
            <w:pPr>
              <w:numPr>
                <w:ilvl w:val="0"/>
                <w:numId w:val="0"/>
              </w:numPr>
              <w:jc w:val="center"/>
              <w:rPr>
                <w:rFonts w:hint="default" w:ascii="Times New Roman" w:hAnsi="Times New Roman" w:eastAsia="仿宋_GB2312" w:cs="Times New Roman"/>
                <w:b/>
                <w:bCs/>
                <w:sz w:val="18"/>
                <w:szCs w:val="18"/>
                <w:vertAlign w:val="baseline"/>
                <w:lang w:val="en-US" w:eastAsia="zh-CN"/>
              </w:rPr>
            </w:pPr>
            <w:r>
              <w:rPr>
                <w:rFonts w:hint="default" w:ascii="Times New Roman" w:hAnsi="Times New Roman" w:eastAsia="仿宋_GB2312" w:cs="Times New Roman"/>
                <w:b/>
                <w:bCs/>
                <w:sz w:val="18"/>
                <w:szCs w:val="18"/>
                <w:vertAlign w:val="baseline"/>
                <w:lang w:val="en-US" w:eastAsia="zh-CN"/>
              </w:rPr>
              <w:t>重车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w:t>
            </w:r>
            <w:r>
              <w:rPr>
                <w:rFonts w:hint="eastAsia" w:ascii="Times New Roman" w:hAnsi="Times New Roman" w:eastAsia="仿宋_GB2312" w:cs="Times New Roman"/>
                <w:sz w:val="18"/>
                <w:szCs w:val="18"/>
                <w:vertAlign w:val="baseline"/>
                <w:lang w:val="en-US" w:eastAsia="zh-CN"/>
              </w:rPr>
              <w:t>30</w:t>
            </w:r>
            <w:r>
              <w:rPr>
                <w:rFonts w:hint="default" w:ascii="Times New Roman" w:hAnsi="Times New Roman" w:eastAsia="仿宋_GB2312" w:cs="Times New Roman"/>
                <w:sz w:val="18"/>
                <w:szCs w:val="18"/>
                <w:vertAlign w:val="baseline"/>
                <w:lang w:val="en-US" w:eastAsia="zh-CN"/>
              </w:rPr>
              <w:t>分钟（含）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eastAsia" w:ascii="Times New Roman" w:hAnsi="Times New Roman" w:eastAsia="仿宋_GB2312" w:cs="Times New Roman"/>
                <w:sz w:val="18"/>
                <w:szCs w:val="18"/>
                <w:vertAlign w:val="baseline"/>
                <w:lang w:val="en-US" w:eastAsia="zh-CN"/>
              </w:rPr>
              <w:t>30</w:t>
            </w:r>
            <w:r>
              <w:rPr>
                <w:rFonts w:hint="default" w:ascii="Times New Roman" w:hAnsi="Times New Roman" w:eastAsia="仿宋_GB2312" w:cs="Times New Roman"/>
                <w:sz w:val="18"/>
                <w:szCs w:val="18"/>
                <w:vertAlign w:val="baseline"/>
                <w:lang w:val="en-US" w:eastAsia="zh-CN"/>
              </w:rPr>
              <w:t>分钟-1小时（含）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35元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3-4小时（含）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45元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4-5小时（含）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55元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5-6小时（含）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6-7小时（含）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75元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7-8小时（含）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85元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8-9小时（含）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95元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9-10小时（含）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10-11小时（含）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11-12小时（含）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12-13小时（含）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13-14小时（含）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14-15小时（含）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15-16小时（含）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16-17小时（含）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17-18小时（含）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18-19小时（含）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19-20小时（含）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20-21小时（含）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21-22小时（含）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22-23小时（含）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665"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23-24小时（含）</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100元</w:t>
            </w:r>
          </w:p>
        </w:tc>
        <w:tc>
          <w:tcPr>
            <w:tcW w:w="1667" w:type="pct"/>
            <w:noWrap w:val="0"/>
            <w:vAlign w:val="center"/>
          </w:tcPr>
          <w:p>
            <w:pPr>
              <w:numPr>
                <w:ilvl w:val="0"/>
                <w:numId w:val="0"/>
              </w:numPr>
              <w:jc w:val="center"/>
              <w:rPr>
                <w:rFonts w:hint="default" w:ascii="Times New Roman" w:hAnsi="Times New Roman" w:eastAsia="仿宋_GB2312" w:cs="Times New Roman"/>
                <w:sz w:val="18"/>
                <w:szCs w:val="18"/>
                <w:vertAlign w:val="baseline"/>
                <w:lang w:val="en-US" w:eastAsia="zh-CN"/>
              </w:rPr>
            </w:pPr>
            <w:r>
              <w:rPr>
                <w:rFonts w:hint="default" w:ascii="Times New Roman" w:hAnsi="Times New Roman" w:eastAsia="仿宋_GB2312" w:cs="Times New Roman"/>
                <w:sz w:val="18"/>
                <w:szCs w:val="18"/>
                <w:vertAlign w:val="baseline"/>
                <w:lang w:val="en-US" w:eastAsia="zh-CN"/>
              </w:rPr>
              <w:t>180元</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rPr>
          <w:rFonts w:hint="eastAsia"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注1：停车超24小时，重新累计计费。</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both"/>
        <w:textAlignment w:val="auto"/>
      </w:pPr>
      <w:r>
        <w:rPr>
          <w:rFonts w:hint="eastAsia" w:ascii="Times New Roman" w:hAnsi="Times New Roman" w:eastAsia="仿宋_GB2312" w:cs="Times New Roman"/>
          <w:color w:val="auto"/>
          <w:sz w:val="24"/>
          <w:szCs w:val="24"/>
          <w:highlight w:val="none"/>
          <w:lang w:val="en-US" w:eastAsia="zh-CN"/>
        </w:rPr>
        <w:t>注2：重载车辆如遇特殊应急情况，需在取得相关主管部门批准并进行严密监管的前提下，方可在停车场应急避险车位短暂停放，特殊应急情况一旦解除，重载车辆必须立即驶离停车场。特殊应急情况主要包括以下几种：(1)危化品运输车辆遇暴雨、浓雾、台风等恶劣天气，影响正常行驶的情形；(2)危化品运输车辆发生故障，影响正常行驶的情形；(3)危化品运输车辆错过高速公路通行时段，需过夜停放的情形；(4)危化品运输车辆必经路线进行交通管制，禁止车辆通行的情形；(5)危化品运输车辆遇严重交通拥堵，为避免车辆排队聚集造成安全隐患的情形；(6)经主管部门批准的其他情形。</w:t>
      </w: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B2286"/>
    <w:rsid w:val="00864884"/>
    <w:rsid w:val="00F47083"/>
    <w:rsid w:val="01DF5AA8"/>
    <w:rsid w:val="04D27124"/>
    <w:rsid w:val="066C313A"/>
    <w:rsid w:val="0FEB4EEA"/>
    <w:rsid w:val="1042662D"/>
    <w:rsid w:val="151C3798"/>
    <w:rsid w:val="167740EE"/>
    <w:rsid w:val="16CC763E"/>
    <w:rsid w:val="17654CFA"/>
    <w:rsid w:val="18FF5024"/>
    <w:rsid w:val="19C76422"/>
    <w:rsid w:val="19CC7C0C"/>
    <w:rsid w:val="1C2E64DE"/>
    <w:rsid w:val="1DD5032B"/>
    <w:rsid w:val="1EA24558"/>
    <w:rsid w:val="1ED57F47"/>
    <w:rsid w:val="21550BE6"/>
    <w:rsid w:val="219A2B11"/>
    <w:rsid w:val="22250E7B"/>
    <w:rsid w:val="2408607F"/>
    <w:rsid w:val="29996E23"/>
    <w:rsid w:val="2AA50A13"/>
    <w:rsid w:val="2B363219"/>
    <w:rsid w:val="2EC22B27"/>
    <w:rsid w:val="31CA6E2D"/>
    <w:rsid w:val="37AC4783"/>
    <w:rsid w:val="410B4B08"/>
    <w:rsid w:val="42670C1A"/>
    <w:rsid w:val="442D572D"/>
    <w:rsid w:val="456A0567"/>
    <w:rsid w:val="45A56AF5"/>
    <w:rsid w:val="465F4F0E"/>
    <w:rsid w:val="48D72336"/>
    <w:rsid w:val="4AE922D7"/>
    <w:rsid w:val="4C270A1F"/>
    <w:rsid w:val="4C5F2206"/>
    <w:rsid w:val="4C6B0305"/>
    <w:rsid w:val="4D146B55"/>
    <w:rsid w:val="50460AA3"/>
    <w:rsid w:val="51933F56"/>
    <w:rsid w:val="54B24F9D"/>
    <w:rsid w:val="55EB2286"/>
    <w:rsid w:val="59064150"/>
    <w:rsid w:val="5C1E04C6"/>
    <w:rsid w:val="5C947E44"/>
    <w:rsid w:val="5F551A6A"/>
    <w:rsid w:val="5FAB49C2"/>
    <w:rsid w:val="60FD7501"/>
    <w:rsid w:val="613B0946"/>
    <w:rsid w:val="6305161B"/>
    <w:rsid w:val="665858DD"/>
    <w:rsid w:val="67F55C88"/>
    <w:rsid w:val="6804326B"/>
    <w:rsid w:val="68454996"/>
    <w:rsid w:val="6BF920C0"/>
    <w:rsid w:val="6DE65099"/>
    <w:rsid w:val="6E4F7EC2"/>
    <w:rsid w:val="6EBB356F"/>
    <w:rsid w:val="6EBF36D7"/>
    <w:rsid w:val="6FE857E6"/>
    <w:rsid w:val="702956D0"/>
    <w:rsid w:val="70954F71"/>
    <w:rsid w:val="71C02019"/>
    <w:rsid w:val="72437827"/>
    <w:rsid w:val="7353422C"/>
    <w:rsid w:val="767E6CEC"/>
    <w:rsid w:val="79172A87"/>
    <w:rsid w:val="7A353244"/>
    <w:rsid w:val="7A5835E1"/>
    <w:rsid w:val="7C893635"/>
    <w:rsid w:val="7DA65F08"/>
    <w:rsid w:val="7E4D1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1712</Words>
  <Characters>2079</Characters>
  <Lines>0</Lines>
  <Paragraphs>0</Paragraphs>
  <TotalTime>19</TotalTime>
  <ScaleCrop>false</ScaleCrop>
  <LinksUpToDate>false</LinksUpToDate>
  <CharactersWithSpaces>2091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2025-07-23T03:27:00Z</dcterms:created>
  <dc:creator>谢旖琪</dc:creator>
  <cp:lastModifiedBy>区经济发展和统计局发文员</cp:lastModifiedBy>
  <cp:lastPrinted>2025-07-28T02:27:00Z</cp:lastPrinted>
  <dcterms:modified xsi:type="dcterms:W3CDTF">2025-08-14T07:36:44Z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B7CB358A1F034A3C839DAF106049A06B</vt:lpwstr>
  </property>
  <property fmtid="{D5CDD505-2E9C-101B-9397-08002B2CF9AE}" pid="4" name="KSOTemplateDocerSaveRecord">
    <vt:lpwstr>eyJoZGlkIjoiODAyOTgwMzNiYzc4ZTM1ODY1ZGQ1MThkNDY4YzdjNTkiLCJ1c2VySWQiOiIzNzQ3MDk0NzUifQ==</vt:lpwstr>
  </property>
</Properties>
</file>