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left"/>
        <w:textAlignment w:val="auto"/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highlight w:val="none"/>
          <w:lang w:eastAsia="zh-CN"/>
        </w:rPr>
        <w:t>附件</w:t>
      </w:r>
      <w:r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highlight w:val="none"/>
          <w:lang w:val="en-US" w:eastAsia="zh-CN"/>
        </w:rPr>
        <w:t>2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方正小标宋简体" w:hAnsi="仿宋" w:eastAsia="方正小标宋_GBK" w:cs="仿宋"/>
          <w:b w:val="0"/>
          <w:bCs w:val="0"/>
          <w:sz w:val="44"/>
          <w:szCs w:val="44"/>
          <w:highlight w:val="none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</w:rPr>
        <w:t>关于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  <w:lang w:eastAsia="zh-CN"/>
        </w:rPr>
        <w:t>抽检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  <w:lang w:val="en-US" w:eastAsia="zh-CN"/>
        </w:rPr>
        <w:t>不合格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  <w:lang w:eastAsia="zh-CN"/>
        </w:rPr>
        <w:t>项目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</w:rPr>
        <w:t>的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  <w:lang w:val="en-US" w:eastAsia="zh-CN"/>
        </w:rPr>
        <w:t>解读</w:t>
      </w:r>
    </w:p>
    <w:p>
      <w:pPr>
        <w:jc w:val="both"/>
        <w:rPr>
          <w:rFonts w:hint="default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p>
      <w:pPr>
        <w:jc w:val="center"/>
        <w:rPr>
          <w:rFonts w:hint="default" w:ascii="宋体" w:hAnsi="宋体" w:eastAsia="宋体" w:cs="宋体"/>
          <w:b/>
          <w:bCs/>
          <w:i w:val="0"/>
          <w:iCs w:val="0"/>
          <w:color w:val="000000"/>
          <w:kern w:val="0"/>
          <w:sz w:val="24"/>
          <w:szCs w:val="24"/>
          <w:u w:val="none"/>
          <w:vertAlign w:val="baseli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不合格样品信息汇总表</w:t>
      </w:r>
    </w:p>
    <w:tbl>
      <w:tblPr>
        <w:tblStyle w:val="9"/>
        <w:tblW w:w="9690" w:type="dxa"/>
        <w:tblInd w:w="-70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110"/>
        <w:gridCol w:w="1695"/>
        <w:gridCol w:w="2093"/>
        <w:gridCol w:w="1155"/>
        <w:gridCol w:w="1241"/>
        <w:gridCol w:w="17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样品名称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被抽样单位名称</w:t>
            </w:r>
          </w:p>
        </w:tc>
        <w:tc>
          <w:tcPr>
            <w:tcW w:w="209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被抽样单位地址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检验项目</w:t>
            </w:r>
          </w:p>
        </w:tc>
        <w:tc>
          <w:tcPr>
            <w:tcW w:w="124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检测结果</w:t>
            </w:r>
          </w:p>
        </w:tc>
        <w:tc>
          <w:tcPr>
            <w:tcW w:w="17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标准要求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8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八角</w:t>
            </w:r>
          </w:p>
        </w:tc>
        <w:tc>
          <w:tcPr>
            <w:tcW w:w="169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惠州大亚湾谭三娘鲜切牛肉自助火锅店（个体工商户）</w:t>
            </w:r>
          </w:p>
        </w:tc>
        <w:tc>
          <w:tcPr>
            <w:tcW w:w="209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惠州大亚湾西区龙海二路38号万达广场3F层3053、3055号铺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二氧化硫残留量</w:t>
            </w:r>
          </w:p>
        </w:tc>
        <w:tc>
          <w:tcPr>
            <w:tcW w:w="1241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0.318g/kg</w:t>
            </w:r>
          </w:p>
        </w:tc>
        <w:tc>
          <w:tcPr>
            <w:tcW w:w="17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≤0.15g/kg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白糖罂（荔枝）</w:t>
            </w:r>
          </w:p>
        </w:tc>
        <w:tc>
          <w:tcPr>
            <w:tcW w:w="169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惠州大亚湾百果水果店</w:t>
            </w:r>
          </w:p>
        </w:tc>
        <w:tc>
          <w:tcPr>
            <w:tcW w:w="209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惠州大亚湾西区石化大道西299号富康名城花园商业街14栋106号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氯氟氰菊酯和高效氯氟氰菊酯</w:t>
            </w:r>
          </w:p>
        </w:tc>
        <w:tc>
          <w:tcPr>
            <w:tcW w:w="124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≤0.1mg/kg</w:t>
            </w:r>
          </w:p>
        </w:tc>
        <w:tc>
          <w:tcPr>
            <w:tcW w:w="172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0.26mg/kg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妃子笑荔枝</w:t>
            </w:r>
          </w:p>
        </w:tc>
        <w:tc>
          <w:tcPr>
            <w:tcW w:w="169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惠州大亚湾溢香园水果店</w:t>
            </w:r>
          </w:p>
        </w:tc>
        <w:tc>
          <w:tcPr>
            <w:tcW w:w="209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惠州大亚湾澳头大塭坝市场二巷47号铺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除虫脲</w:t>
            </w:r>
          </w:p>
        </w:tc>
        <w:tc>
          <w:tcPr>
            <w:tcW w:w="124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1.61mg/kg</w:t>
            </w:r>
          </w:p>
        </w:tc>
        <w:tc>
          <w:tcPr>
            <w:tcW w:w="172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≤0.5mg/kg</w:t>
            </w:r>
          </w:p>
        </w:tc>
      </w:tr>
    </w:tbl>
    <w:p>
      <w:pPr>
        <w:jc w:val="center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 xml:space="preserve">一、二氧化硫残留量 </w:t>
      </w:r>
    </w:p>
    <w:p>
      <w:pPr>
        <w:spacing w:line="600" w:lineRule="exact"/>
        <w:ind w:firstLine="640" w:firstLineChars="200"/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二氧化硫是食品加工中常用的漂白剂和防腐剂，具有漂 白、防腐和抗氧化作用。少量二氧化硫进入人体不会对身体 造成健康危害，但过量食用会引起如恶心、呕吐等胃肠道反 应。《食品安全国家标准 食品添加剂使用标准》（GB 2760- 2014）中规定，二氧化硫在山柰中不得使用。调味品中二氧 化硫残留超标的原因可能是生产企业为了提高产品色泽、防 腐或降低成本而用硫磺熏过，导致终产品中二氧化硫残留。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二、氯氟氰菊酯和高效氯氟氰菊酯</w:t>
      </w:r>
    </w:p>
    <w:p>
      <w:pPr>
        <w:spacing w:line="600" w:lineRule="exact"/>
        <w:ind w:firstLine="640" w:firstLineChars="200"/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氯氟氰菊酯和高效氯氟氰菊酯都属于拟除虫菊酯类杀虫剂，它们通过抑制昆虫神经轴突部位的传导来杀死害虫。然而，这类化学品对人类也可能造成一定的危害。以下是这两种物质对人体可能造成的危害：</w:t>
      </w:r>
    </w:p>
    <w:p>
      <w:pPr>
        <w:spacing w:line="600" w:lineRule="exact"/>
        <w:ind w:firstLine="640" w:firstLineChars="200"/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刺激性反应：氯氟氰菊酯和高效氯氟氰菊酯喷洒后，会释放有害物质，对皮肤和眼睛产生刺激性反应，容易造成皮肤灼烧、起泡等症状，同时会导致眼结膜充血、肿胀和眼痛等不适感受。</w:t>
      </w:r>
    </w:p>
    <w:p>
      <w:pPr>
        <w:spacing w:line="600" w:lineRule="exact"/>
        <w:ind w:firstLine="640" w:firstLineChars="200"/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神经毒性：这两类物质都有可能对人类的神经系统产生直接影响。如果接触过多，可能会引起头痛、头晕、恶心、呕吐等症状，甚至会出现神经过敏。</w:t>
      </w:r>
    </w:p>
    <w:p>
      <w:pPr>
        <w:spacing w:line="600" w:lineRule="exact"/>
        <w:ind w:firstLine="640" w:firstLineChars="200"/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致癌性：高效氯氟氰菊酯的主要成分属于有机磷类农药，与多种癌症的发生有着一定的关联。过量的摄入可能会对人体产生长期的致癌危害，严重威胁人体健康。</w:t>
      </w:r>
    </w:p>
    <w:p>
      <w:pPr>
        <w:spacing w:line="600" w:lineRule="exact"/>
        <w:ind w:firstLine="640" w:firstLineChars="200"/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对儿童和孕妇的危害：儿童和孕妇对这两类物质都是比较敏感的人群，接触过多可能会影响儿童和胎儿的生长发育，甚至引起畸形等永久性影响。</w:t>
      </w:r>
    </w:p>
    <w:p>
      <w:pPr>
        <w:spacing w:line="600" w:lineRule="exact"/>
        <w:ind w:firstLine="640" w:firstLineChars="200"/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全身中毒：氯氟氰菊酯的毒性较强，如果大量接触或意外摄入，可能导致全身中毒症状，出现头晕、头痛、意识障碍以及休克等全身中毒现象。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3" w:firstLineChars="200"/>
        <w:jc w:val="left"/>
        <w:textAlignment w:val="auto"/>
        <w:rPr>
          <w:rFonts w:hint="default" w:asciiTheme="majorEastAsia" w:hAnsiTheme="majorEastAsia" w:eastAsiaTheme="majorEastAsia" w:cstheme="majorEastAsia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kern w:val="2"/>
          <w:sz w:val="32"/>
          <w:szCs w:val="32"/>
          <w:lang w:val="en-US" w:eastAsia="zh-CN" w:bidi="ar-SA"/>
        </w:rPr>
        <w:t>三、</w:t>
      </w:r>
      <w:r>
        <w:rPr>
          <w:rFonts w:hint="default" w:asciiTheme="majorEastAsia" w:hAnsiTheme="majorEastAsia" w:eastAsiaTheme="majorEastAsia" w:cstheme="majorEastAsia"/>
          <w:b/>
          <w:bCs/>
          <w:color w:val="auto"/>
          <w:kern w:val="2"/>
          <w:sz w:val="32"/>
          <w:szCs w:val="32"/>
          <w:lang w:val="en-US" w:eastAsia="zh-CN" w:bidi="ar-SA"/>
        </w:rPr>
        <w:t>除虫脲</w:t>
      </w:r>
    </w:p>
    <w:p>
      <w:pPr>
        <w:spacing w:line="600" w:lineRule="exact"/>
        <w:ind w:firstLine="640" w:firstLineChars="200"/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bookmarkStart w:id="0" w:name="_GoBack"/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除虫脲是一种特异性低毒杀虫剂，属苯甲酰类，对害虫有胃毒和触杀作用，通过抑制昆虫几丁质合成、使幼虫在蜕皮时不能形成新表皮、虫体成畸形而死亡，但药效缓慢。该药对鳞翅目害虫有特效。《食品安全国家标准 食品中农药最大残留限量》（GB 2763-2021）中规定，除虫脲在荔枝中的最大残留限量值为0.5mg/kg。除虫脲残留量超标的原因可能是在农业生产过程中，加大了用药量或未按规定使用，致使上市销售的产品中残留量超标。</w:t>
      </w:r>
    </w:p>
    <w:bookmarkEnd w:id="0"/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jc w:val="left"/>
        <w:textAlignment w:val="auto"/>
        <w:outlineLvl w:val="9"/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4YWZiNWQyYzYyMTViYmM2NTVlMTQyNzU2MTM3ZjYifQ=="/>
  </w:docVars>
  <w:rsids>
    <w:rsidRoot w:val="352A30F2"/>
    <w:rsid w:val="004B50A3"/>
    <w:rsid w:val="015E536F"/>
    <w:rsid w:val="04F40BA4"/>
    <w:rsid w:val="0FB6751E"/>
    <w:rsid w:val="16310FCE"/>
    <w:rsid w:val="253A00EB"/>
    <w:rsid w:val="2DDE7525"/>
    <w:rsid w:val="2EDD3B80"/>
    <w:rsid w:val="2FBC3540"/>
    <w:rsid w:val="31CA0CFF"/>
    <w:rsid w:val="34D46FFF"/>
    <w:rsid w:val="352A30F2"/>
    <w:rsid w:val="35E03EB2"/>
    <w:rsid w:val="364061C6"/>
    <w:rsid w:val="36CA0CF7"/>
    <w:rsid w:val="3A8341F2"/>
    <w:rsid w:val="3B697572"/>
    <w:rsid w:val="3E9E5B13"/>
    <w:rsid w:val="3ECC24D6"/>
    <w:rsid w:val="440F5289"/>
    <w:rsid w:val="4D0C303A"/>
    <w:rsid w:val="4DCF5199"/>
    <w:rsid w:val="4F894CF1"/>
    <w:rsid w:val="52DA1E7D"/>
    <w:rsid w:val="54C8723E"/>
    <w:rsid w:val="58DD45AA"/>
    <w:rsid w:val="60060553"/>
    <w:rsid w:val="617354E1"/>
    <w:rsid w:val="62B7151B"/>
    <w:rsid w:val="68AE62D0"/>
    <w:rsid w:val="6C31559E"/>
    <w:rsid w:val="6F2D3F54"/>
    <w:rsid w:val="777E44F5"/>
    <w:rsid w:val="7A091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50" w:beforeLines="50"/>
      <w:outlineLvl w:val="1"/>
    </w:pPr>
    <w:rPr>
      <w:b/>
      <w:bCs/>
      <w:sz w:val="30"/>
      <w:szCs w:val="32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  <w:rPr>
      <w:rFonts w:hAnsi="Calibri"/>
      <w:kern w:val="0"/>
      <w:szCs w:val="20"/>
    </w:rPr>
  </w:style>
  <w:style w:type="paragraph" w:styleId="5">
    <w:name w:val="Plain Text"/>
    <w:basedOn w:val="1"/>
    <w:qFormat/>
    <w:uiPriority w:val="0"/>
    <w:rPr>
      <w:rFonts w:ascii="宋体" w:hAnsi="Courier New" w:cs="宋体"/>
      <w:sz w:val="21"/>
      <w:szCs w:val="21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正文正"/>
    <w:basedOn w:val="1"/>
    <w:qFormat/>
    <w:uiPriority w:val="0"/>
    <w:pPr>
      <w:spacing w:line="560" w:lineRule="exact"/>
      <w:ind w:firstLine="561"/>
    </w:pPr>
    <w:rPr>
      <w:rFonts w:eastAsia="仿宋_GB2312"/>
      <w:sz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302</Words>
  <Characters>333</Characters>
  <Lines>0</Lines>
  <Paragraphs>0</Paragraphs>
  <TotalTime>1</TotalTime>
  <ScaleCrop>false</ScaleCrop>
  <LinksUpToDate>false</LinksUpToDate>
  <CharactersWithSpaces>342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2024-06-21T00:53:00Z</dcterms:created>
  <dc:creator>邓小羊</dc:creator>
  <cp:lastModifiedBy>谭文婷</cp:lastModifiedBy>
  <cp:lastPrinted>2025-05-14T07:27:00Z</cp:lastPrinted>
  <dcterms:modified xsi:type="dcterms:W3CDTF">2025-08-13T03:49:29Z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A16F088548914DDAAFB237BBEAAB56C0_11</vt:lpwstr>
  </property>
  <property fmtid="{D5CDD505-2E9C-101B-9397-08002B2CF9AE}" pid="4" name="KSOTemplateDocerSaveRecord">
    <vt:lpwstr>eyJoZGlkIjoiYzkxOTkzNjk4MDg4MGJmYTZjYjQzOGJkNzJhNGExNTIiLCJ1c2VySWQiOiIyODI0NzA3NTUifQ==</vt:lpwstr>
  </property>
</Properties>
</file>