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简体" w:hAnsi="仿宋" w:eastAsia="方正小标宋_GBK" w:cs="仿宋"/>
          <w:b w:val="0"/>
          <w:bCs w:val="0"/>
          <w:sz w:val="44"/>
          <w:szCs w:val="44"/>
          <w:highlight w:val="none"/>
          <w:lang w:eastAsia="zh-CN"/>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p>
      <w:pPr>
        <w:jc w:val="both"/>
        <w:rPr>
          <w:rFonts w:hint="default" w:ascii="宋体" w:hAnsi="宋体" w:eastAsia="宋体" w:cs="宋体"/>
          <w:b/>
          <w:bCs/>
          <w:i w:val="0"/>
          <w:iCs w:val="0"/>
          <w:color w:val="000000"/>
          <w:kern w:val="0"/>
          <w:sz w:val="32"/>
          <w:szCs w:val="32"/>
          <w:u w:val="none"/>
          <w:lang w:val="en-US" w:eastAsia="zh-CN" w:bidi="ar"/>
        </w:rPr>
      </w:pPr>
    </w:p>
    <w:p>
      <w:pPr>
        <w:jc w:val="center"/>
        <w:rPr>
          <w:rFonts w:hint="default" w:ascii="宋体" w:hAnsi="宋体" w:eastAsia="宋体" w:cs="宋体"/>
          <w:b/>
          <w:bCs/>
          <w:i w:val="0"/>
          <w:iCs w:val="0"/>
          <w:color w:val="000000"/>
          <w:kern w:val="0"/>
          <w:sz w:val="24"/>
          <w:szCs w:val="24"/>
          <w:u w:val="none"/>
          <w:vertAlign w:val="baseline"/>
          <w:lang w:val="en-US" w:eastAsia="zh-CN" w:bidi="ar"/>
        </w:rPr>
      </w:pPr>
      <w:r>
        <w:rPr>
          <w:rFonts w:hint="eastAsia" w:ascii="宋体" w:hAnsi="宋体" w:eastAsia="宋体" w:cs="宋体"/>
          <w:b/>
          <w:bCs/>
          <w:i w:val="0"/>
          <w:iCs w:val="0"/>
          <w:color w:val="000000"/>
          <w:kern w:val="0"/>
          <w:sz w:val="28"/>
          <w:szCs w:val="28"/>
          <w:u w:val="none"/>
          <w:lang w:val="en-US" w:eastAsia="zh-CN" w:bidi="ar"/>
        </w:rPr>
        <w:t>不合格样品信息汇总表</w:t>
      </w:r>
    </w:p>
    <w:p>
      <w:pPr>
        <w:pStyle w:val="3"/>
        <w:rPr>
          <w:rFonts w:hint="default"/>
          <w:lang w:val="en-US" w:eastAsia="zh-CN"/>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783"/>
        <w:gridCol w:w="1677"/>
        <w:gridCol w:w="2005"/>
        <w:gridCol w:w="1131"/>
        <w:gridCol w:w="1255"/>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序号</w:t>
            </w:r>
          </w:p>
        </w:tc>
        <w:tc>
          <w:tcPr>
            <w:tcW w:w="45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样品名称</w:t>
            </w:r>
          </w:p>
        </w:tc>
        <w:tc>
          <w:tcPr>
            <w:tcW w:w="983"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被抽样单位名称</w:t>
            </w:r>
          </w:p>
        </w:tc>
        <w:tc>
          <w:tcPr>
            <w:tcW w:w="117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被抽样单位地址</w:t>
            </w:r>
          </w:p>
        </w:tc>
        <w:tc>
          <w:tcPr>
            <w:tcW w:w="663"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检验项目</w:t>
            </w:r>
          </w:p>
        </w:tc>
        <w:tc>
          <w:tcPr>
            <w:tcW w:w="73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检测结果</w:t>
            </w:r>
          </w:p>
        </w:tc>
        <w:tc>
          <w:tcPr>
            <w:tcW w:w="684"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1</w:t>
            </w:r>
          </w:p>
        </w:tc>
        <w:tc>
          <w:tcPr>
            <w:tcW w:w="459"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玉竹百合代用茶</w:t>
            </w:r>
          </w:p>
        </w:tc>
        <w:tc>
          <w:tcPr>
            <w:tcW w:w="983"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惠州市安宏健康管理有限公司</w:t>
            </w:r>
          </w:p>
        </w:tc>
        <w:tc>
          <w:tcPr>
            <w:tcW w:w="117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惠州大亚湾西区板樟岭西侧龙山五路25号联益科技园A1栋307</w:t>
            </w:r>
          </w:p>
        </w:tc>
        <w:tc>
          <w:tcPr>
            <w:tcW w:w="663" w:type="pct"/>
            <w:vAlign w:val="center"/>
          </w:tcPr>
          <w:p>
            <w:pPr>
              <w:keepNext w:val="0"/>
              <w:keepLines w:val="0"/>
              <w:widowControl/>
              <w:suppressLineNumbers w:val="0"/>
              <w:jc w:val="center"/>
              <w:rPr>
                <w:rFonts w:hint="eastAsia" w:ascii="宋体" w:hAnsi="宋体" w:eastAsia="宋体" w:cs="宋体"/>
                <w:color w:val="000000" w:themeColor="text1"/>
                <w:sz w:val="20"/>
                <w:szCs w:val="20"/>
                <w:lang w:val="en-US" w:eastAsia="zh-CN"/>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铅(以 Pb 计)</w:t>
            </w:r>
          </w:p>
        </w:tc>
        <w:tc>
          <w:tcPr>
            <w:tcW w:w="736"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96.9mg/kg</w:t>
            </w:r>
          </w:p>
        </w:tc>
        <w:tc>
          <w:tcPr>
            <w:tcW w:w="684"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≤2.5mg/kg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2</w:t>
            </w:r>
          </w:p>
        </w:tc>
        <w:tc>
          <w:tcPr>
            <w:tcW w:w="459"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江上明珠 包装饮用水</w:t>
            </w:r>
          </w:p>
        </w:tc>
        <w:tc>
          <w:tcPr>
            <w:tcW w:w="983"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惠州大亚湾爱尚水业店</w:t>
            </w:r>
          </w:p>
        </w:tc>
        <w:tc>
          <w:tcPr>
            <w:tcW w:w="117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惠州大亚湾霞涌育才路6号</w:t>
            </w:r>
          </w:p>
        </w:tc>
        <w:tc>
          <w:tcPr>
            <w:tcW w:w="663" w:type="pct"/>
            <w:vAlign w:val="center"/>
          </w:tcPr>
          <w:p>
            <w:pPr>
              <w:keepNext w:val="0"/>
              <w:keepLines w:val="0"/>
              <w:widowControl/>
              <w:suppressLineNumbers w:val="0"/>
              <w:jc w:val="center"/>
              <w:rPr>
                <w:rFonts w:hint="eastAsia" w:ascii="宋体" w:hAnsi="宋体" w:eastAsia="宋体" w:cs="宋体"/>
                <w:color w:val="000000" w:themeColor="text1"/>
                <w:sz w:val="20"/>
                <w:szCs w:val="20"/>
                <w:lang w:val="en-US" w:eastAsia="zh-CN"/>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铜绿假单胞菌</w:t>
            </w:r>
          </w:p>
        </w:tc>
        <w:tc>
          <w:tcPr>
            <w:tcW w:w="736" w:type="pct"/>
            <w:vAlign w:val="center"/>
          </w:tcPr>
          <w:p>
            <w:pPr>
              <w:keepNext w:val="0"/>
              <w:keepLines w:val="0"/>
              <w:widowControl/>
              <w:suppressLineNumbers w:val="0"/>
              <w:jc w:val="both"/>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未检出,未检出,未检出,61,未检 出</w:t>
            </w:r>
            <w:r>
              <w:rPr>
                <w:rFonts w:hint="eastAsia" w:ascii="宋体" w:hAnsi="宋体" w:eastAsia="宋体" w:cs="宋体"/>
                <w:color w:val="000000" w:themeColor="text1"/>
                <w:sz w:val="20"/>
                <w:szCs w:val="20"/>
                <w:lang w:val="en-US" w:eastAsia="zh-CN"/>
                <w14:textFill>
                  <w14:solidFill>
                    <w14:schemeClr w14:val="tx1"/>
                  </w14:solidFill>
                </w14:textFill>
              </w:rPr>
              <w:t xml:space="preserve"> </w:t>
            </w:r>
            <w:r>
              <w:rPr>
                <w:rFonts w:hint="eastAsia" w:ascii="宋体" w:hAnsi="宋体" w:eastAsia="宋体" w:cs="宋体"/>
                <w:color w:val="000000" w:themeColor="text1"/>
                <w:sz w:val="20"/>
                <w:szCs w:val="20"/>
                <w14:textFill>
                  <w14:solidFill>
                    <w14:schemeClr w14:val="tx1"/>
                  </w14:solidFill>
                </w14:textFill>
              </w:rPr>
              <w:t>CFU/250m L</w:t>
            </w:r>
          </w:p>
        </w:tc>
        <w:tc>
          <w:tcPr>
            <w:tcW w:w="684"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n=5,c=0,m=0</w:t>
            </w:r>
            <w:r>
              <w:rPr>
                <w:rFonts w:hint="eastAsia" w:ascii="宋体" w:hAnsi="宋体" w:eastAsia="宋体" w:cs="宋体"/>
                <w:color w:val="000000" w:themeColor="text1"/>
                <w:sz w:val="20"/>
                <w:szCs w:val="20"/>
                <w:lang w:val="en-US" w:eastAsia="zh-CN"/>
                <w14:textFill>
                  <w14:solidFill>
                    <w14:schemeClr w14:val="tx1"/>
                  </w14:solidFill>
                </w14:textFill>
              </w:rPr>
              <w:t xml:space="preserve"> </w:t>
            </w:r>
            <w:r>
              <w:rPr>
                <w:rFonts w:hint="eastAsia" w:ascii="宋体" w:hAnsi="宋体" w:eastAsia="宋体" w:cs="宋体"/>
                <w:color w:val="000000" w:themeColor="text1"/>
                <w:sz w:val="20"/>
                <w:szCs w:val="20"/>
                <w14:textFill>
                  <w14:solidFill>
                    <w14:schemeClr w14:val="tx1"/>
                  </w14:solidFill>
                </w14:textFill>
              </w:rPr>
              <w:t>CFU/250m 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3</w:t>
            </w:r>
          </w:p>
        </w:tc>
        <w:tc>
          <w:tcPr>
            <w:tcW w:w="459" w:type="pct"/>
            <w:vAlign w:val="center"/>
          </w:tcPr>
          <w:p>
            <w:pPr>
              <w:keepNext w:val="0"/>
              <w:keepLines w:val="0"/>
              <w:widowControl/>
              <w:suppressLineNumbers w:val="0"/>
              <w:jc w:val="cente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肉丸</w:t>
            </w:r>
          </w:p>
        </w:tc>
        <w:tc>
          <w:tcPr>
            <w:tcW w:w="983" w:type="pct"/>
            <w:vAlign w:val="center"/>
          </w:tcPr>
          <w:p>
            <w:pPr>
              <w:keepNext w:val="0"/>
              <w:keepLines w:val="0"/>
              <w:widowControl/>
              <w:suppressLineNumbers w:val="0"/>
              <w:jc w:val="cente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惠州大亚湾快乐时光奶茶店</w:t>
            </w:r>
          </w:p>
        </w:tc>
        <w:tc>
          <w:tcPr>
            <w:tcW w:w="1176" w:type="pct"/>
            <w:vAlign w:val="center"/>
          </w:tcPr>
          <w:p>
            <w:pPr>
              <w:jc w:val="cente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惠州大亚湾霞涌镇岭南村三巷一号</w:t>
            </w:r>
          </w:p>
        </w:tc>
        <w:tc>
          <w:tcPr>
            <w:tcW w:w="663" w:type="pct"/>
            <w:vAlign w:val="center"/>
          </w:tcPr>
          <w:p>
            <w:pPr>
              <w:keepNext w:val="0"/>
              <w:keepLines w:val="0"/>
              <w:widowControl/>
              <w:suppressLineNumbers w:val="0"/>
              <w:jc w:val="center"/>
              <w:rPr>
                <w:rFonts w:hint="eastAsia"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脱氢乙酸及其钠盐(以脱氢乙酸计)</w:t>
            </w:r>
          </w:p>
        </w:tc>
        <w:tc>
          <w:tcPr>
            <w:tcW w:w="736" w:type="pct"/>
            <w:vAlign w:val="center"/>
          </w:tcPr>
          <w:p>
            <w:pPr>
              <w:keepNext w:val="0"/>
              <w:keepLines w:val="0"/>
              <w:widowControl/>
              <w:suppressLineNumbers w:val="0"/>
              <w:jc w:val="center"/>
              <w:rPr>
                <w:rFonts w:hint="eastAsia"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2.68g/kg</w:t>
            </w:r>
          </w:p>
        </w:tc>
        <w:tc>
          <w:tcPr>
            <w:tcW w:w="684" w:type="pct"/>
            <w:vAlign w:val="center"/>
          </w:tcPr>
          <w:p>
            <w:pPr>
              <w:keepNext w:val="0"/>
              <w:keepLines w:val="0"/>
              <w:widowControl/>
              <w:suppressLineNumbers w:val="0"/>
              <w:jc w:val="center"/>
              <w:rPr>
                <w:rFonts w:hint="eastAsia"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4</w:t>
            </w:r>
          </w:p>
        </w:tc>
        <w:tc>
          <w:tcPr>
            <w:tcW w:w="459"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盐焗鸡（自制）</w:t>
            </w:r>
          </w:p>
        </w:tc>
        <w:tc>
          <w:tcPr>
            <w:tcW w:w="983"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惠州大亚湾安记烧味店</w:t>
            </w:r>
          </w:p>
        </w:tc>
        <w:tc>
          <w:tcPr>
            <w:tcW w:w="1176" w:type="pct"/>
            <w:vAlign w:val="center"/>
          </w:tcPr>
          <w:p>
            <w:pPr>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惠州大亚湾霞涌新市场</w:t>
            </w:r>
          </w:p>
        </w:tc>
        <w:tc>
          <w:tcPr>
            <w:tcW w:w="663" w:type="pct"/>
            <w:vAlign w:val="center"/>
          </w:tcPr>
          <w:p>
            <w:pPr>
              <w:keepNext w:val="0"/>
              <w:keepLines w:val="0"/>
              <w:widowControl/>
              <w:suppressLineNumbers w:val="0"/>
              <w:jc w:val="center"/>
              <w:rPr>
                <w:rFonts w:hint="eastAsia" w:ascii="宋体" w:hAnsi="宋体" w:eastAsia="宋体" w:cs="宋体"/>
                <w:color w:val="000000" w:themeColor="text1"/>
                <w:sz w:val="20"/>
                <w:szCs w:val="20"/>
                <w:lang w:val="en-US" w:eastAsia="zh-CN"/>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柠檬黄</w:t>
            </w:r>
          </w:p>
        </w:tc>
        <w:tc>
          <w:tcPr>
            <w:tcW w:w="736"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0.0265g/kg</w:t>
            </w:r>
          </w:p>
        </w:tc>
        <w:tc>
          <w:tcPr>
            <w:tcW w:w="684" w:type="pct"/>
            <w:vAlign w:val="center"/>
          </w:tcPr>
          <w:p>
            <w:pPr>
              <w:keepNext w:val="0"/>
              <w:keepLines w:val="0"/>
              <w:widowControl/>
              <w:suppressLineNumbers w:val="0"/>
              <w:jc w:val="cente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不得使用</w:t>
            </w:r>
          </w:p>
        </w:tc>
      </w:tr>
    </w:tbl>
    <w:p>
      <w:pPr>
        <w:keepNext w:val="0"/>
        <w:keepLines w:val="0"/>
        <w:widowControl/>
        <w:suppressLineNumbers w:val="0"/>
        <w:jc w:val="left"/>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pP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firstLine="643" w:firstLineChars="200"/>
        <w:jc w:val="left"/>
        <w:textAlignment w:val="auto"/>
        <w:rPr>
          <w:rFonts w:hint="eastAsia" w:asciiTheme="majorEastAsia" w:hAnsiTheme="majorEastAsia" w:eastAsiaTheme="majorEastAsia" w:cstheme="majorEastAsia"/>
          <w:b/>
          <w:bCs/>
          <w:color w:val="auto"/>
          <w:kern w:val="2"/>
          <w:sz w:val="32"/>
          <w:szCs w:val="32"/>
          <w:lang w:val="en-US" w:eastAsia="zh-CN" w:bidi="ar-SA"/>
        </w:rPr>
      </w:pPr>
      <w:r>
        <w:rPr>
          <w:rFonts w:hint="eastAsia" w:asciiTheme="majorEastAsia" w:hAnsiTheme="majorEastAsia" w:eastAsiaTheme="majorEastAsia" w:cstheme="majorEastAsia"/>
          <w:b/>
          <w:bCs/>
          <w:color w:val="auto"/>
          <w:kern w:val="2"/>
          <w:sz w:val="32"/>
          <w:szCs w:val="32"/>
          <w:lang w:val="en-US" w:eastAsia="zh-CN" w:bidi="ar-SA"/>
        </w:rPr>
        <w:t>一、铅</w:t>
      </w:r>
    </w:p>
    <w:p>
      <w:pPr>
        <w:numPr>
          <w:ilvl w:val="0"/>
          <w:numId w:val="0"/>
        </w:num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铅是常见重金属污染物，是一种严重危害人体健康的重金属元素，人体中理想的含铅量为零。人体多通过摄取食物、饮用自来水等方式把铅带入人体，进入人体的铅90%储存在骨骼，10%随血液循环流动而分布到全身各组织和器官。铅是蓄积性的重金属，只有当人体中铅含量达到一定程度时，才会引发身体的不适，在长期摄入铅后，会对机体的血液系统、神经系统产生损害，尤其对儿童生长和智力发育的影响较大。职业性铅中毒多为慢性中毒，可影响神经、造血、消化、泌尿、生殖和发育、心血管、内分泌、免疫、骨骼等各类器官。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联合国粮食及农业组织和世界卫生组织食品添加剂联合专家委员会（JECFA）1999 年建议其暂定每周耐受摄入量（PTWI）为0.025mg/kg bw，但 2011 年被撤回，理由是基于流行病学研究，这一剂量会使儿童的智商降低至少 3 点，而成年人的收缩压升高约3mmHg （0.4kPa），因此该 PTWI 不再被认为具有健康保护作用。由于缺乏证据，JECFA 尚未建立新的被认为对健康有益的 PTWI。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铅的污染来源分为直接污染和间接污染。直接污染是指食品在生产过程中直接接触铅或者由于生产工艺的原因直接加入含铅的原料，涉及</w:t>
      </w:r>
      <w:bookmarkStart w:id="0" w:name="_GoBack"/>
      <w:bookmarkEnd w:id="0"/>
      <w:r>
        <w:rPr>
          <w:rFonts w:hint="eastAsia" w:ascii="仿宋_GB2312" w:hAnsi="微软雅黑" w:eastAsia="仿宋_GB2312" w:cs="仿宋_GB2312"/>
          <w:i w:val="0"/>
          <w:caps w:val="0"/>
          <w:color w:val="000000"/>
          <w:spacing w:val="0"/>
          <w:kern w:val="0"/>
          <w:sz w:val="32"/>
          <w:szCs w:val="32"/>
          <w:lang w:val="en-US" w:eastAsia="zh-CN" w:bidi="ar"/>
        </w:rPr>
        <w:t xml:space="preserve">食品制作工艺及盛装食品的器皿：马口铁、陶瓷和搪瓷等材料制成的食品容器常含有较多的铅；含铅罐头食品、皮蛋及爆米花等食品的生产也易存在这种情况。间接污染是指食品原材料在生长、生产过程中通过土壤、空气、水等途径导致铅污染，例如含铅的废水废渣排放污染水体和土壤后，进而污染食物；含铅农药的使用也可造成农作物的铅污染。 </w:t>
      </w:r>
    </w:p>
    <w:p>
      <w:pPr>
        <w:spacing w:line="600" w:lineRule="exact"/>
        <w:ind w:firstLine="640" w:firstLineChars="200"/>
        <w:rPr>
          <w:rFonts w:hint="default"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根据《食品安全国家标准 食品中污染物限量》（GB 2762-2017）、《食品安全国家标准 保健食品》（GB 16740-2014）、《食品安全国家标准 食品添加剂 明胶》（GB6783-2013）、《食品安全国家标准 复配食品添加剂通则》（GB 26687-2011）及其第 1号修改单中的规定。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firstLine="643" w:firstLineChars="200"/>
        <w:jc w:val="left"/>
        <w:textAlignment w:val="auto"/>
        <w:rPr>
          <w:rFonts w:hint="eastAsia" w:asciiTheme="majorEastAsia" w:hAnsiTheme="majorEastAsia" w:eastAsiaTheme="majorEastAsia" w:cstheme="majorEastAsia"/>
          <w:b/>
          <w:bCs/>
          <w:color w:val="auto"/>
          <w:kern w:val="2"/>
          <w:sz w:val="32"/>
          <w:szCs w:val="32"/>
          <w:lang w:val="en-US" w:eastAsia="zh-CN" w:bidi="ar-SA"/>
        </w:rPr>
      </w:pPr>
      <w:r>
        <w:rPr>
          <w:rFonts w:hint="eastAsia" w:asciiTheme="majorEastAsia" w:hAnsiTheme="majorEastAsia" w:eastAsiaTheme="majorEastAsia" w:cstheme="majorEastAsia"/>
          <w:b/>
          <w:bCs/>
          <w:color w:val="auto"/>
          <w:kern w:val="2"/>
          <w:sz w:val="32"/>
          <w:szCs w:val="32"/>
          <w:lang w:val="en-US" w:eastAsia="zh-CN" w:bidi="ar-SA"/>
        </w:rPr>
        <w:t>二、铜绿假单胞菌</w:t>
      </w:r>
    </w:p>
    <w:p>
      <w:pPr>
        <w:numPr>
          <w:ilvl w:val="0"/>
          <w:numId w:val="0"/>
        </w:num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铜绿假单胞菌（Pseudomonas aeruginosa）是革兰氏阴性无芽孢杆菌，需氧，多具有分解蛋白质、碳水化合物和脂肪的能力，是重要的食品腐败性细菌。广泛分布于水、空气、正常人的皮肤、呼吸道和肠道等，易在潮湿的环境存活，对消毒剂、紫外线等具有较强的抵抗力。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铜绿假单胞菌是一种条件致病菌，对于免疫力较弱的人群健康风险较大。天然矿泉水中铜绿假单胞菌超标可能是源水防护不当，水体受到污染；生产过程中卫生控制不严格，如从业人员未经消毒的手直接与矿泉水或容器内壁接触；或者是包装材料清洗消毒有缺陷所致。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我国《食品安全国家标准 包装饮用水》（GB 19298-2014）和《食品安全国家标准 饮用天然矿泉水》（GB 8537-2018）对铜绿假单胞菌限量进行了规定。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firstLine="643" w:firstLineChars="200"/>
        <w:jc w:val="left"/>
        <w:textAlignment w:val="auto"/>
        <w:rPr>
          <w:rFonts w:hint="eastAsia" w:asciiTheme="majorEastAsia" w:hAnsiTheme="majorEastAsia" w:eastAsiaTheme="majorEastAsia" w:cstheme="majorEastAsia"/>
          <w:b/>
          <w:bCs/>
          <w:color w:val="auto"/>
          <w:kern w:val="2"/>
          <w:sz w:val="32"/>
          <w:szCs w:val="32"/>
          <w:lang w:val="en-US" w:eastAsia="zh-CN" w:bidi="ar-SA"/>
        </w:rPr>
      </w:pPr>
      <w:r>
        <w:rPr>
          <w:rFonts w:hint="eastAsia" w:asciiTheme="majorEastAsia" w:hAnsiTheme="majorEastAsia" w:eastAsiaTheme="majorEastAsia" w:cstheme="majorEastAsia"/>
          <w:b/>
          <w:bCs/>
          <w:color w:val="auto"/>
          <w:kern w:val="2"/>
          <w:sz w:val="32"/>
          <w:szCs w:val="32"/>
          <w:lang w:val="en-US" w:eastAsia="zh-CN" w:bidi="ar-SA"/>
        </w:rPr>
        <w:t>三、脱氢乙酸</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脱氢乙酸（dehydroacetic acid）及其钠盐作为一种广谱食品防腐剂，对霉菌和酵母菌的抑制能力强，为苯甲酸钠的 2~10 倍，在高剂量使用时能抑制细菌。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脱氢乙酸毒性较低，按标准规定的范围和使用量使用是安全的。脱氢乙酸及其钠盐能被人体完全吸收，并能抑制人体内多种氧化酶，长期过量摄入脱氢乙酸及其钠盐会危害人体健康。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脱氢乙酸超标的原因可能是个别生产经营企业为防止食品腐败变质，超量使用了该添加剂，或者其使用的复配添加剂中该添加剂含量较高；也可能是在添加过程中未计量或计量不准。使用应遵循《食品安全国家标准 食品添加剂使用标准》（GB 2760-2014）的规定。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firstLine="643" w:firstLineChars="200"/>
        <w:jc w:val="left"/>
        <w:textAlignment w:val="auto"/>
        <w:rPr>
          <w:rFonts w:hint="eastAsia" w:asciiTheme="majorEastAsia" w:hAnsiTheme="majorEastAsia" w:eastAsiaTheme="majorEastAsia" w:cstheme="majorEastAsia"/>
          <w:b/>
          <w:bCs/>
          <w:color w:val="auto"/>
          <w:kern w:val="2"/>
          <w:sz w:val="32"/>
          <w:szCs w:val="32"/>
          <w:lang w:val="en-US" w:eastAsia="zh-CN" w:bidi="ar-SA"/>
        </w:rPr>
      </w:pPr>
      <w:r>
        <w:rPr>
          <w:rFonts w:hint="eastAsia" w:asciiTheme="majorEastAsia" w:hAnsiTheme="majorEastAsia" w:eastAsiaTheme="majorEastAsia" w:cstheme="majorEastAsia"/>
          <w:b/>
          <w:bCs/>
          <w:color w:val="auto"/>
          <w:kern w:val="2"/>
          <w:sz w:val="32"/>
          <w:szCs w:val="32"/>
          <w:lang w:val="en-US" w:eastAsia="zh-CN" w:bidi="ar-SA"/>
        </w:rPr>
        <w:t>四、柠檬黄</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柠檬黄（tartrazine），橙黄或亮橙色的粉末或颗粒，是一种合成着色剂，常用于饮料类配制酒、糖果、风味发酵乳、腌渍蔬菜、果冻、膨化食品等制品。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柠檬黄基本无毒，不在体内贮积，绝大部分以原形排出体外；但是如果，也存在健康风险。联合国粮农组织（FAO）和世界卫生组织食品添加剂联合专家委员会（JECFA）建议其日容许摄入量（ADI）为 0~10mg/kg bw。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造成食品中柠檬黄不合格的主要原因有：生产经营企业超限量、超范围使用，或者未准确计量。 </w:t>
      </w:r>
    </w:p>
    <w:p>
      <w:pPr>
        <w:spacing w:line="600" w:lineRule="exact"/>
        <w:ind w:firstLine="640" w:firstLineChars="200"/>
        <w:rPr>
          <w:rFonts w:hint="eastAsia" w:ascii="仿宋_GB2312" w:hAnsi="微软雅黑" w:eastAsia="仿宋_GB2312" w:cs="仿宋_GB2312"/>
          <w:i w:val="0"/>
          <w:caps w:val="0"/>
          <w:color w:val="000000"/>
          <w:spacing w:val="0"/>
          <w:kern w:val="0"/>
          <w:sz w:val="32"/>
          <w:szCs w:val="32"/>
          <w:lang w:val="en-US" w:eastAsia="zh-CN" w:bidi="ar"/>
        </w:rPr>
      </w:pPr>
      <w:r>
        <w:rPr>
          <w:rFonts w:hint="eastAsia" w:ascii="仿宋_GB2312" w:hAnsi="微软雅黑" w:eastAsia="仿宋_GB2312" w:cs="仿宋_GB2312"/>
          <w:i w:val="0"/>
          <w:caps w:val="0"/>
          <w:color w:val="000000"/>
          <w:spacing w:val="0"/>
          <w:kern w:val="0"/>
          <w:sz w:val="32"/>
          <w:szCs w:val="32"/>
          <w:lang w:val="en-US" w:eastAsia="zh-CN" w:bidi="ar"/>
        </w:rPr>
        <w:t xml:space="preserve">使用应遵循《食品安全国家标准 食品添加剂使用标准》（GB 2760-2014）及《国家卫生计生委发布关于食品工业用酶制剂新品种果糖基转移酶（又名 β-果糖基转移酶）和食品添加剂单，双甘油脂肪酸酯等 7 种扩大使用范围的公告 2018 年 第 2 号》、《国家卫生健康委员会关于（±）-1-环己基乙醇等食品添加剂新品种的公告 2018 年 第 8 号》的规定。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EF280B"/>
    <w:rsid w:val="45586986"/>
    <w:rsid w:val="79EF280B"/>
    <w:rsid w:val="7F5B4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hAnsi="Calibri"/>
      <w:kern w:val="0"/>
      <w:szCs w:val="20"/>
    </w:rPr>
  </w:style>
  <w:style w:type="paragraph" w:styleId="3">
    <w:name w:val="Plain Text"/>
    <w:basedOn w:val="1"/>
    <w:qFormat/>
    <w:uiPriority w:val="0"/>
    <w:rPr>
      <w:rFonts w:ascii="宋体" w:hAnsi="Courier New" w:cs="宋体"/>
      <w:sz w:val="21"/>
      <w:szCs w:val="21"/>
    </w:rPr>
  </w:style>
  <w:style w:type="paragraph" w:styleId="4">
    <w:name w:val="Body Text First Indent 2"/>
    <w:basedOn w:val="2"/>
    <w:qFormat/>
    <w:uiPriority w:val="0"/>
    <w:pPr>
      <w:ind w:firstLine="420" w:firstLineChars="200"/>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6</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2025-08-13T03:14:00Z</dcterms:created>
  <dc:creator>邓小羊</dc:creator>
  <cp:lastModifiedBy>区市场监督管理局收文员</cp:lastModifiedBy>
  <dcterms:modified xsi:type="dcterms:W3CDTF">2025-08-15T06:21:20Z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C160BFA4B66A41AE844F8B6841EF059A_11</vt:lpwstr>
  </property>
  <property fmtid="{D5CDD505-2E9C-101B-9397-08002B2CF9AE}" pid="4" name="KSOTemplateDocerSaveRecord">
    <vt:lpwstr>eyJoZGlkIjoiMzc2OTQ1MTMzNWFiNzMxYWVkYTZmNGJkYTk2YzhhZmQiLCJ1c2VySWQiOiIxMTQzNTA4NzQ2In0=</vt:lpwstr>
  </property>
</Properties>
</file>