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left"/>
        <w:textAlignment w:val="auto"/>
        <w:rPr>
          <w:rFonts w:hint="eastAsia" w:ascii="Times New Roman" w:hAnsi="Times New Roman" w:eastAsia="黑体" w:cs="Times New Roman"/>
          <w:b w:val="0"/>
          <w:bCs w:val="0"/>
          <w:sz w:val="32"/>
          <w:szCs w:val="32"/>
          <w:highlight w:val="none"/>
          <w:lang w:val="en-US" w:eastAsia="zh-CN"/>
        </w:rPr>
      </w:pPr>
      <w:r>
        <w:rPr>
          <w:rFonts w:hint="default" w:ascii="Times New Roman" w:hAnsi="Times New Roman" w:eastAsia="黑体" w:cs="Times New Roman"/>
          <w:b w:val="0"/>
          <w:bCs w:val="0"/>
          <w:sz w:val="32"/>
          <w:szCs w:val="32"/>
          <w:highlight w:val="none"/>
          <w:lang w:eastAsia="zh-CN"/>
        </w:rPr>
        <w:t>附件</w:t>
      </w:r>
      <w:r>
        <w:rPr>
          <w:rFonts w:hint="eastAsia" w:ascii="Times New Roman" w:hAnsi="Times New Roman" w:eastAsia="黑体" w:cs="Times New Roman"/>
          <w:b w:val="0"/>
          <w:bCs w:val="0"/>
          <w:sz w:val="32"/>
          <w:szCs w:val="32"/>
          <w:highlight w:val="none"/>
          <w:lang w:val="en-US" w:eastAsia="zh-CN"/>
        </w:rPr>
        <w:t>2</w:t>
      </w:r>
    </w:p>
    <w:p>
      <w:pPr>
        <w:pStyle w:val="5"/>
        <w:keepNext w:val="0"/>
        <w:keepLines w:val="0"/>
        <w:pageBreakBefore w:val="0"/>
        <w:kinsoku/>
        <w:wordWrap/>
        <w:overflowPunct/>
        <w:topLinePunct w:val="0"/>
        <w:autoSpaceDE/>
        <w:autoSpaceDN/>
        <w:bidi w:val="0"/>
        <w:adjustRightInd/>
        <w:spacing w:line="560" w:lineRule="exact"/>
        <w:textAlignment w:val="auto"/>
        <w:rPr>
          <w:rFonts w:hint="default"/>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简体" w:hAnsi="仿宋" w:eastAsia="方正小标宋_GBK" w:cs="仿宋"/>
          <w:b w:val="0"/>
          <w:bCs w:val="0"/>
          <w:sz w:val="44"/>
          <w:szCs w:val="44"/>
          <w:highlight w:val="none"/>
          <w:lang w:eastAsia="zh-CN"/>
        </w:rPr>
      </w:pPr>
      <w:r>
        <w:rPr>
          <w:rFonts w:hint="eastAsia" w:ascii="方正小标宋_GBK" w:hAnsi="方正小标宋_GBK" w:eastAsia="方正小标宋_GBK" w:cs="方正小标宋_GBK"/>
          <w:b w:val="0"/>
          <w:bCs w:val="0"/>
          <w:sz w:val="44"/>
          <w:szCs w:val="44"/>
          <w:highlight w:val="none"/>
        </w:rPr>
        <w:t>关于</w:t>
      </w:r>
      <w:r>
        <w:rPr>
          <w:rFonts w:hint="eastAsia" w:ascii="方正小标宋_GBK" w:hAnsi="方正小标宋_GBK" w:eastAsia="方正小标宋_GBK" w:cs="方正小标宋_GBK"/>
          <w:b w:val="0"/>
          <w:bCs w:val="0"/>
          <w:sz w:val="44"/>
          <w:szCs w:val="44"/>
          <w:highlight w:val="none"/>
          <w:lang w:eastAsia="zh-CN"/>
        </w:rPr>
        <w:t>抽检</w:t>
      </w:r>
      <w:r>
        <w:rPr>
          <w:rFonts w:hint="eastAsia" w:ascii="方正小标宋_GBK" w:hAnsi="方正小标宋_GBK" w:eastAsia="方正小标宋_GBK" w:cs="方正小标宋_GBK"/>
          <w:b w:val="0"/>
          <w:bCs w:val="0"/>
          <w:sz w:val="44"/>
          <w:szCs w:val="44"/>
          <w:highlight w:val="none"/>
          <w:lang w:val="en-US" w:eastAsia="zh-CN"/>
        </w:rPr>
        <w:t>不合格</w:t>
      </w:r>
      <w:r>
        <w:rPr>
          <w:rFonts w:hint="eastAsia" w:ascii="方正小标宋_GBK" w:hAnsi="方正小标宋_GBK" w:eastAsia="方正小标宋_GBK" w:cs="方正小标宋_GBK"/>
          <w:b w:val="0"/>
          <w:bCs w:val="0"/>
          <w:sz w:val="44"/>
          <w:szCs w:val="44"/>
          <w:highlight w:val="none"/>
          <w:lang w:eastAsia="zh-CN"/>
        </w:rPr>
        <w:t>项目</w:t>
      </w:r>
      <w:r>
        <w:rPr>
          <w:rFonts w:hint="eastAsia" w:ascii="方正小标宋_GBK" w:hAnsi="方正小标宋_GBK" w:eastAsia="方正小标宋_GBK" w:cs="方正小标宋_GBK"/>
          <w:b w:val="0"/>
          <w:bCs w:val="0"/>
          <w:sz w:val="44"/>
          <w:szCs w:val="44"/>
          <w:highlight w:val="none"/>
        </w:rPr>
        <w:t>的</w:t>
      </w:r>
      <w:r>
        <w:rPr>
          <w:rFonts w:hint="eastAsia" w:ascii="方正小标宋_GBK" w:hAnsi="方正小标宋_GBK" w:eastAsia="方正小标宋_GBK" w:cs="方正小标宋_GBK"/>
          <w:b w:val="0"/>
          <w:bCs w:val="0"/>
          <w:sz w:val="44"/>
          <w:szCs w:val="44"/>
          <w:highlight w:val="none"/>
          <w:lang w:val="en-US" w:eastAsia="zh-CN"/>
        </w:rPr>
        <w:t>解读</w:t>
      </w:r>
    </w:p>
    <w:p>
      <w:pPr>
        <w:jc w:val="both"/>
        <w:rPr>
          <w:rFonts w:hint="default" w:ascii="宋体" w:hAnsi="宋体" w:eastAsia="宋体" w:cs="宋体"/>
          <w:b/>
          <w:bCs/>
          <w:i w:val="0"/>
          <w:iCs w:val="0"/>
          <w:color w:val="000000"/>
          <w:kern w:val="0"/>
          <w:sz w:val="32"/>
          <w:szCs w:val="32"/>
          <w:u w:val="none"/>
          <w:lang w:val="en-US" w:eastAsia="zh-CN" w:bidi="ar"/>
        </w:rPr>
      </w:pPr>
    </w:p>
    <w:p>
      <w:pPr>
        <w:jc w:val="center"/>
        <w:rPr>
          <w:rFonts w:hint="default" w:ascii="宋体" w:hAnsi="宋体" w:eastAsia="宋体" w:cs="宋体"/>
          <w:b/>
          <w:bCs/>
          <w:i w:val="0"/>
          <w:iCs w:val="0"/>
          <w:color w:val="000000"/>
          <w:kern w:val="0"/>
          <w:sz w:val="24"/>
          <w:szCs w:val="24"/>
          <w:u w:val="none"/>
          <w:vertAlign w:val="baseline"/>
          <w:lang w:val="en-US" w:eastAsia="zh-CN" w:bidi="ar"/>
        </w:rPr>
      </w:pPr>
      <w:r>
        <w:rPr>
          <w:rFonts w:hint="eastAsia" w:ascii="宋体" w:hAnsi="宋体" w:eastAsia="宋体" w:cs="宋体"/>
          <w:b/>
          <w:bCs/>
          <w:i w:val="0"/>
          <w:iCs w:val="0"/>
          <w:color w:val="000000"/>
          <w:kern w:val="0"/>
          <w:sz w:val="28"/>
          <w:szCs w:val="28"/>
          <w:u w:val="none"/>
          <w:lang w:val="en-US" w:eastAsia="zh-CN" w:bidi="ar"/>
        </w:rPr>
        <w:t>不合格样品信息汇总表</w:t>
      </w:r>
    </w:p>
    <w:tbl>
      <w:tblPr>
        <w:tblStyle w:val="9"/>
        <w:tblW w:w="9690" w:type="dxa"/>
        <w:tblInd w:w="-7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10"/>
        <w:gridCol w:w="1695"/>
        <w:gridCol w:w="2093"/>
        <w:gridCol w:w="1155"/>
        <w:gridCol w:w="1241"/>
        <w:gridCol w:w="1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67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序号</w:t>
            </w:r>
          </w:p>
        </w:tc>
        <w:tc>
          <w:tcPr>
            <w:tcW w:w="1110"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样品名称</w:t>
            </w:r>
          </w:p>
        </w:tc>
        <w:tc>
          <w:tcPr>
            <w:tcW w:w="169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被抽样单位名称</w:t>
            </w:r>
          </w:p>
        </w:tc>
        <w:tc>
          <w:tcPr>
            <w:tcW w:w="2093"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被抽样单位地址</w:t>
            </w:r>
          </w:p>
        </w:tc>
        <w:tc>
          <w:tcPr>
            <w:tcW w:w="115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检验项目</w:t>
            </w:r>
          </w:p>
        </w:tc>
        <w:tc>
          <w:tcPr>
            <w:tcW w:w="1241"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检测结果</w:t>
            </w:r>
          </w:p>
        </w:tc>
        <w:tc>
          <w:tcPr>
            <w:tcW w:w="1721"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675" w:type="dxa"/>
            <w:vAlign w:val="center"/>
          </w:tcPr>
          <w:p>
            <w:pPr>
              <w:jc w:val="center"/>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1</w:t>
            </w:r>
          </w:p>
        </w:tc>
        <w:tc>
          <w:tcPr>
            <w:tcW w:w="1110" w:type="dxa"/>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菜薹</w:t>
            </w:r>
          </w:p>
        </w:tc>
        <w:tc>
          <w:tcPr>
            <w:tcW w:w="169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樟浦红星市场蔡木秋</w:t>
            </w:r>
          </w:p>
        </w:tc>
        <w:tc>
          <w:tcPr>
            <w:tcW w:w="2093"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惠州大亚湾西区樟浦红星市场</w:t>
            </w:r>
          </w:p>
        </w:tc>
        <w:tc>
          <w:tcPr>
            <w:tcW w:w="1155" w:type="dxa"/>
            <w:shd w:val="clear" w:color="auto" w:fill="auto"/>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噻虫胺</w:t>
            </w:r>
          </w:p>
        </w:tc>
        <w:tc>
          <w:tcPr>
            <w:tcW w:w="1241" w:type="dxa"/>
            <w:shd w:val="clear" w:color="auto" w:fill="auto"/>
            <w:vAlign w:val="center"/>
          </w:tcPr>
          <w:p>
            <w:pPr>
              <w:jc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0.52mg/kg</w:t>
            </w:r>
          </w:p>
        </w:tc>
        <w:tc>
          <w:tcPr>
            <w:tcW w:w="1721" w:type="dxa"/>
            <w:shd w:val="clear" w:color="auto" w:fill="auto"/>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≤0.2mg/kg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675" w:type="dxa"/>
            <w:vAlign w:val="center"/>
          </w:tcPr>
          <w:p>
            <w:pPr>
              <w:jc w:val="center"/>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2</w:t>
            </w:r>
          </w:p>
        </w:tc>
        <w:tc>
          <w:tcPr>
            <w:tcW w:w="11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盐焗鸡</w:t>
            </w:r>
          </w:p>
        </w:tc>
        <w:tc>
          <w:tcPr>
            <w:tcW w:w="169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惠州大亚湾靓鸡鲜餐饮店（个体工商户）</w:t>
            </w:r>
          </w:p>
        </w:tc>
        <w:tc>
          <w:tcPr>
            <w:tcW w:w="2093"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惠州大亚湾西区东联新二路一巷1号1楼1号铺</w:t>
            </w:r>
          </w:p>
        </w:tc>
        <w:tc>
          <w:tcPr>
            <w:tcW w:w="11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柠檬黄</w:t>
            </w:r>
          </w:p>
        </w:tc>
        <w:tc>
          <w:tcPr>
            <w:tcW w:w="124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0.00415g/kg</w:t>
            </w:r>
          </w:p>
        </w:tc>
        <w:tc>
          <w:tcPr>
            <w:tcW w:w="172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不得使用g/kg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675" w:type="dxa"/>
            <w:vAlign w:val="center"/>
          </w:tcPr>
          <w:p>
            <w:pPr>
              <w:jc w:val="center"/>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3</w:t>
            </w:r>
          </w:p>
        </w:tc>
        <w:tc>
          <w:tcPr>
            <w:tcW w:w="11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盐焗鸡爪</w:t>
            </w:r>
          </w:p>
        </w:tc>
        <w:tc>
          <w:tcPr>
            <w:tcW w:w="169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惠州大亚湾靓鸡鲜餐饮店（个体工商户）</w:t>
            </w:r>
          </w:p>
        </w:tc>
        <w:tc>
          <w:tcPr>
            <w:tcW w:w="2093"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惠州大亚湾西区东联新二路一巷1号1楼1号铺</w:t>
            </w:r>
          </w:p>
        </w:tc>
        <w:tc>
          <w:tcPr>
            <w:tcW w:w="11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柠檬黄</w:t>
            </w:r>
          </w:p>
        </w:tc>
        <w:tc>
          <w:tcPr>
            <w:tcW w:w="124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0.0342g/kg</w:t>
            </w:r>
          </w:p>
        </w:tc>
        <w:tc>
          <w:tcPr>
            <w:tcW w:w="172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不得使用g/kg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675" w:type="dxa"/>
            <w:vAlign w:val="center"/>
          </w:tcPr>
          <w:p>
            <w:pPr>
              <w:jc w:val="center"/>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4</w:t>
            </w:r>
          </w:p>
        </w:tc>
        <w:tc>
          <w:tcPr>
            <w:tcW w:w="11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盐焗鸡翅尖</w:t>
            </w:r>
          </w:p>
        </w:tc>
        <w:tc>
          <w:tcPr>
            <w:tcW w:w="169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惠州大亚湾靓鸡鲜餐饮店（个体工商户）</w:t>
            </w:r>
          </w:p>
        </w:tc>
        <w:tc>
          <w:tcPr>
            <w:tcW w:w="2093"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惠州大亚湾西区东联新二路一巷1号1楼1号铺</w:t>
            </w:r>
          </w:p>
        </w:tc>
        <w:tc>
          <w:tcPr>
            <w:tcW w:w="115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柠檬黄</w:t>
            </w:r>
          </w:p>
        </w:tc>
        <w:tc>
          <w:tcPr>
            <w:tcW w:w="124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0.0412g/kg</w:t>
            </w:r>
          </w:p>
        </w:tc>
        <w:tc>
          <w:tcPr>
            <w:tcW w:w="172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不得使用g/kg</w:t>
            </w:r>
          </w:p>
        </w:tc>
      </w:tr>
    </w:tbl>
    <w:p>
      <w:pPr>
        <w:jc w:val="center"/>
        <w:rPr>
          <w:rFonts w:hint="eastAsia" w:ascii="宋体" w:hAnsi="宋体" w:eastAsia="宋体" w:cs="宋体"/>
          <w:color w:val="000000"/>
          <w:kern w:val="0"/>
          <w:sz w:val="21"/>
          <w:szCs w:val="21"/>
          <w:lang w:val="en-US" w:eastAsia="zh-CN" w:bidi="ar"/>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黑体" w:hAnsi="黑体" w:eastAsia="黑体" w:cs="黑体"/>
          <w:b w:val="0"/>
          <w:bCs w:val="0"/>
          <w:sz w:val="32"/>
          <w:szCs w:val="32"/>
          <w:lang w:val="en-US" w:eastAsia="zh-CN"/>
        </w:rPr>
        <w:t xml:space="preserve">一、噻虫胺 </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噻虫胺属新烟碱类杀虫剂，具有内吸性、触杀和胃毒作用，对蚜虫、斑潜蝇等有较好防效。少量的残留不会引起人体急性中毒，但长期食用噻虫胺超标的食品，对人体健康可能有一定影响。</w:t>
      </w:r>
    </w:p>
    <w:p>
      <w:pPr>
        <w:keepNext w:val="0"/>
        <w:keepLines w:val="0"/>
        <w:pageBreakBefore w:val="0"/>
        <w:widowControl/>
        <w:numPr>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黑体" w:hAnsi="黑体" w:eastAsia="黑体" w:cs="黑体"/>
          <w:b w:val="0"/>
          <w:bCs w:val="0"/>
          <w:sz w:val="32"/>
          <w:szCs w:val="32"/>
          <w:lang w:val="en-US" w:eastAsia="zh-CN"/>
        </w:rPr>
        <w:t>二、柠檬黄</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柠檬黄，橙黄或亮橙色的粉末或颗粒，是一种合成着色剂。柠檬黄基本无毒，不在体</w:t>
      </w:r>
      <w:bookmarkStart w:id="0" w:name="_GoBack"/>
      <w:bookmarkEnd w:id="0"/>
      <w:r>
        <w:rPr>
          <w:rFonts w:hint="eastAsia" w:ascii="仿宋_GB2312" w:hAnsi="仿宋_GB2312" w:eastAsia="仿宋_GB2312" w:cs="仿宋_GB2312"/>
          <w:sz w:val="32"/>
          <w:szCs w:val="32"/>
          <w:lang w:val="en-US" w:eastAsia="zh-CN"/>
        </w:rPr>
        <w:t>内贮积，绝大部分以原形排出体外，但食用柠檬黄超标的食品可能对人体存在健康风险。《食品安全国家标准 食品添加剂使用标准》（GB 2760-2014）规定，柠檬黄在盐焗鸡中不得使用。造成食品中柠檬黄不合格的原因可能是生产经营企业为改善产品色泽违规使用</w:t>
      </w:r>
      <w:r>
        <w:rPr>
          <w:rFonts w:hint="default"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20" w:firstLineChars="200"/>
        <w:jc w:val="left"/>
        <w:textAlignment w:val="auto"/>
        <w:outlineLvl w:val="9"/>
        <w:rPr>
          <w:rFonts w:hint="eastAsia" w:ascii="宋体" w:hAnsi="宋体" w:eastAsia="宋体" w:cs="宋体"/>
          <w:sz w:val="21"/>
          <w:szCs w:val="21"/>
          <w:lang w:val="en-US" w:eastAsia="zh-CN"/>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4YWZiNWQyYzYyMTViYmM2NTVlMTQyNzU2MTM3ZjYifQ=="/>
  </w:docVars>
  <w:rsids>
    <w:rsidRoot w:val="352A30F2"/>
    <w:rsid w:val="004B50A3"/>
    <w:rsid w:val="00AE641A"/>
    <w:rsid w:val="015E536F"/>
    <w:rsid w:val="04F40BA4"/>
    <w:rsid w:val="0FB6751E"/>
    <w:rsid w:val="13C44583"/>
    <w:rsid w:val="16310FCE"/>
    <w:rsid w:val="253A00EB"/>
    <w:rsid w:val="2DDE7525"/>
    <w:rsid w:val="2EDD3B80"/>
    <w:rsid w:val="2FBC3540"/>
    <w:rsid w:val="31CA0CFF"/>
    <w:rsid w:val="352A30F2"/>
    <w:rsid w:val="35E03EB2"/>
    <w:rsid w:val="364061C6"/>
    <w:rsid w:val="36CA0CF7"/>
    <w:rsid w:val="3A8341F2"/>
    <w:rsid w:val="3B697572"/>
    <w:rsid w:val="3E9E5B13"/>
    <w:rsid w:val="3ECC24D6"/>
    <w:rsid w:val="440F5289"/>
    <w:rsid w:val="492D1A53"/>
    <w:rsid w:val="4D0C303A"/>
    <w:rsid w:val="4DCF5199"/>
    <w:rsid w:val="4DD640EF"/>
    <w:rsid w:val="52DA1E7D"/>
    <w:rsid w:val="54C8723E"/>
    <w:rsid w:val="58DD45AA"/>
    <w:rsid w:val="60060553"/>
    <w:rsid w:val="617354E1"/>
    <w:rsid w:val="62B7151B"/>
    <w:rsid w:val="68AE62D0"/>
    <w:rsid w:val="6C31559E"/>
    <w:rsid w:val="6C7F58E3"/>
    <w:rsid w:val="6F2D3F54"/>
    <w:rsid w:val="777E44F5"/>
    <w:rsid w:val="7A091B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0"/>
    <w:pPr>
      <w:keepNext/>
      <w:keepLines/>
      <w:spacing w:before="50" w:beforeLines="50"/>
      <w:outlineLvl w:val="1"/>
    </w:pPr>
    <w:rPr>
      <w:b/>
      <w:bCs/>
      <w:sz w:val="30"/>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rPr>
      <w:rFonts w:hAnsi="Calibri"/>
      <w:kern w:val="0"/>
      <w:szCs w:val="20"/>
    </w:rPr>
  </w:style>
  <w:style w:type="paragraph" w:styleId="5">
    <w:name w:val="Plain Text"/>
    <w:basedOn w:val="1"/>
    <w:qFormat/>
    <w:uiPriority w:val="0"/>
    <w:rPr>
      <w:rFonts w:ascii="宋体" w:hAnsi="Courier New" w:cs="宋体"/>
      <w:sz w:val="21"/>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174</Words>
  <Characters>189</Characters>
  <Lines>0</Lines>
  <Paragraphs>0</Paragraphs>
  <TotalTime>0</TotalTime>
  <ScaleCrop>false</ScaleCrop>
  <LinksUpToDate>false</LinksUpToDate>
  <CharactersWithSpaces>190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2024-06-21T00:53:00Z</dcterms:created>
  <dc:creator>邓小羊</dc:creator>
  <cp:lastModifiedBy>谭文婷</cp:lastModifiedBy>
  <cp:lastPrinted>2025-05-14T07:27:00Z</cp:lastPrinted>
  <dcterms:modified xsi:type="dcterms:W3CDTF">2025-10-17T01:55:38Z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A16F088548914DDAAFB237BBEAAB56C0_11</vt:lpwstr>
  </property>
  <property fmtid="{D5CDD505-2E9C-101B-9397-08002B2CF9AE}" pid="4" name="KSOTemplateDocerSaveRecord">
    <vt:lpwstr>eyJoZGlkIjoiYzkxOTkzNjk4MDg4MGJmYTZjYjQzOGJkNzJhNGExNTIiLCJ1c2VySWQiOiIyODI0NzA3NTUifQ==</vt:lpwstr>
  </property>
</Properties>
</file>