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9C5B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sz w:val="44"/>
          <w:szCs w:val="44"/>
          <w:highlight w:val="none"/>
        </w:rPr>
      </w:pPr>
      <w:r>
        <w:rPr>
          <w:rFonts w:hint="eastAsia" w:ascii="黑体" w:hAnsi="黑体" w:eastAsia="黑体" w:cs="黑体"/>
          <w:b w:val="0"/>
          <w:bCs w:val="0"/>
          <w:sz w:val="32"/>
          <w:szCs w:val="32"/>
          <w:lang w:eastAsia="zh-CN"/>
        </w:rPr>
        <w:t>附件</w:t>
      </w:r>
    </w:p>
    <w:p w14:paraId="42B9069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sz w:val="44"/>
          <w:szCs w:val="44"/>
          <w:highlight w:val="none"/>
          <w:lang w:val="en-US" w:eastAsia="zh-CN"/>
        </w:rPr>
      </w:pPr>
    </w:p>
    <w:p w14:paraId="377B5D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r>
        <w:rPr>
          <w:rFonts w:hint="eastAsia" w:ascii="方正小标宋简体" w:hAnsi="方正小标宋简体" w:eastAsia="方正小标宋简体" w:cs="方正小标宋简体"/>
          <w:b w:val="0"/>
          <w:bCs/>
          <w:sz w:val="44"/>
          <w:szCs w:val="44"/>
          <w:highlight w:val="none"/>
          <w:lang w:val="en-US" w:eastAsia="zh-CN"/>
        </w:rPr>
        <w:t>区应急管理信息平台运维服务项目</w:t>
      </w:r>
    </w:p>
    <w:p w14:paraId="47823E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highlight w:val="none"/>
          <w:lang w:val="en-US" w:eastAsia="zh-CN"/>
        </w:rPr>
        <w:t>询价清单及内容</w:t>
      </w:r>
    </w:p>
    <w:p w14:paraId="2CFE34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p>
    <w:p w14:paraId="61E080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一、项目概况</w:t>
      </w:r>
    </w:p>
    <w:p w14:paraId="77C5C53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highlight w:val="none"/>
          <w:lang w:val="en-US" w:eastAsia="zh-CN"/>
        </w:rPr>
        <w:t>区应急管理信息平台运维服务项目</w:t>
      </w:r>
    </w:p>
    <w:p w14:paraId="750308AB">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项目地点：惠州大亚湾经济技术开发区管理委员会应急管理局。</w:t>
      </w:r>
    </w:p>
    <w:p w14:paraId="0ED10BA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项目内容：对大亚湾区应急管理局的</w:t>
      </w:r>
      <w:r>
        <w:rPr>
          <w:rFonts w:hint="eastAsia" w:ascii="仿宋_GB2312" w:hAnsi="仿宋_GB2312" w:eastAsia="仿宋_GB2312" w:cs="仿宋_GB2312"/>
          <w:sz w:val="32"/>
          <w:szCs w:val="32"/>
          <w:lang w:val="en-US" w:eastAsia="zh-CN"/>
        </w:rPr>
        <w:t>区应急管理信息平台</w:t>
      </w:r>
      <w:r>
        <w:rPr>
          <w:rFonts w:hint="eastAsia" w:ascii="仿宋_GB2312" w:hAnsi="仿宋_GB2312" w:eastAsia="仿宋_GB2312" w:cs="仿宋_GB2312"/>
          <w:sz w:val="32"/>
          <w:szCs w:val="32"/>
        </w:rPr>
        <w:t>及相关配套设施进行日常维护、故障处理、技术支持及定期巡检等服务。</w:t>
      </w:r>
    </w:p>
    <w:p w14:paraId="33AAC5D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服务期限：</w:t>
      </w:r>
      <w:r>
        <w:rPr>
          <w:rFonts w:hint="eastAsia" w:ascii="仿宋_GB2312" w:hAnsi="仿宋_GB2312" w:eastAsia="仿宋_GB2312" w:cs="仿宋_GB2312"/>
          <w:sz w:val="32"/>
          <w:szCs w:val="32"/>
          <w:lang w:val="en-US" w:eastAsia="zh-CN"/>
        </w:rPr>
        <w:t>1年</w:t>
      </w:r>
      <w:r>
        <w:rPr>
          <w:rFonts w:hint="eastAsia" w:ascii="仿宋_GB2312" w:hAnsi="仿宋_GB2312" w:eastAsia="仿宋_GB2312" w:cs="仿宋_GB2312"/>
          <w:sz w:val="32"/>
          <w:szCs w:val="32"/>
        </w:rPr>
        <w:t>。</w:t>
      </w:r>
    </w:p>
    <w:p w14:paraId="6089675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最高限价：</w:t>
      </w:r>
      <w:bookmarkStart w:id="0" w:name="_GoBack"/>
      <w:bookmarkEnd w:id="0"/>
      <w:r>
        <w:rPr>
          <w:rFonts w:hint="eastAsia" w:ascii="仿宋_GB2312" w:hAnsi="仿宋_GB2312" w:eastAsia="仿宋_GB2312" w:cs="仿宋_GB2312"/>
          <w:sz w:val="32"/>
          <w:szCs w:val="32"/>
        </w:rPr>
        <w:t>人民币</w:t>
      </w:r>
      <w:r>
        <w:rPr>
          <w:rFonts w:hint="eastAsia" w:ascii="仿宋_GB2312" w:hAnsi="仿宋_GB2312" w:eastAsia="仿宋_GB2312" w:cs="仿宋_GB2312"/>
          <w:sz w:val="32"/>
          <w:szCs w:val="32"/>
          <w:lang w:val="en-US" w:eastAsia="zh-CN"/>
        </w:rPr>
        <w:t>165400</w:t>
      </w:r>
      <w:r>
        <w:rPr>
          <w:rFonts w:hint="eastAsia" w:ascii="仿宋_GB2312" w:hAnsi="仿宋_GB2312" w:eastAsia="仿宋_GB2312" w:cs="仿宋_GB2312"/>
          <w:sz w:val="32"/>
          <w:szCs w:val="32"/>
        </w:rPr>
        <w:t>元。报价单位的报价不得超过最高限价，否则视为无效报价。</w:t>
      </w:r>
    </w:p>
    <w:p w14:paraId="33BBD3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二、供应商资格要求</w:t>
      </w:r>
    </w:p>
    <w:p w14:paraId="6CA4170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在中华人民共和国境内注册，具有独立法人资格，具备相应经营范围的合法企业。</w:t>
      </w:r>
    </w:p>
    <w:p w14:paraId="6505B69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具有良好的商业信誉和健全的财务会计制度。</w:t>
      </w:r>
    </w:p>
    <w:p w14:paraId="1C15BB1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具备履行合同所必需的专业技术能力，包括但不限于</w:t>
      </w:r>
      <w:r>
        <w:rPr>
          <w:rFonts w:hint="eastAsia" w:ascii="仿宋_GB2312" w:hAnsi="仿宋_GB2312" w:eastAsia="仿宋_GB2312" w:cs="仿宋_GB2312"/>
          <w:sz w:val="32"/>
          <w:szCs w:val="32"/>
          <w:lang w:val="en-US" w:eastAsia="zh-CN"/>
        </w:rPr>
        <w:t>专线业务割接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专线故障处理、</w:t>
      </w:r>
      <w:r>
        <w:rPr>
          <w:rFonts w:hint="eastAsia" w:ascii="仿宋_GB2312" w:hAnsi="仿宋_GB2312" w:eastAsia="仿宋_GB2312" w:cs="仿宋_GB2312"/>
          <w:sz w:val="32"/>
          <w:szCs w:val="32"/>
        </w:rPr>
        <w:t>网络设备维护、应急技术支持等。</w:t>
      </w:r>
    </w:p>
    <w:p w14:paraId="31D6D8B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有依法缴纳税收和社会保障资金的良好记录。</w:t>
      </w:r>
    </w:p>
    <w:p w14:paraId="419EE4C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参加政府采购活动前三年内，在经营活动中没有重大违法记录。</w:t>
      </w:r>
    </w:p>
    <w:p w14:paraId="055761E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14:paraId="18C6CB4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本项目不接受联合体投标。</w:t>
      </w:r>
    </w:p>
    <w:p w14:paraId="5BBCD1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三、维护服务要求</w:t>
      </w:r>
    </w:p>
    <w:p w14:paraId="780242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维护内容</w:t>
      </w:r>
    </w:p>
    <w:p w14:paraId="564F004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1.区应急管理信息平台所涉及</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云</w:t>
      </w:r>
      <w:r>
        <w:rPr>
          <w:rFonts w:hint="eastAsia" w:ascii="仿宋_GB2312" w:hAnsi="仿宋_GB2312" w:eastAsia="仿宋_GB2312" w:cs="仿宋_GB2312"/>
          <w:sz w:val="32"/>
          <w:szCs w:val="32"/>
        </w:rPr>
        <w:t>服务器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中间件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数据库</w:t>
      </w:r>
      <w:r>
        <w:rPr>
          <w:rFonts w:hint="eastAsia" w:ascii="仿宋_GB2312" w:hAnsi="仿宋_GB2312" w:eastAsia="仿宋_GB2312" w:cs="仿宋_GB2312"/>
          <w:sz w:val="32"/>
          <w:szCs w:val="32"/>
        </w:rPr>
        <w:t>、存储等进行日常巡检、维护保养，确保</w:t>
      </w:r>
      <w:r>
        <w:rPr>
          <w:rFonts w:hint="eastAsia" w:ascii="仿宋_GB2312" w:hAnsi="仿宋_GB2312" w:eastAsia="仿宋_GB2312" w:cs="仿宋_GB2312"/>
          <w:sz w:val="32"/>
          <w:szCs w:val="32"/>
          <w:lang w:val="en-US" w:eastAsia="zh-CN"/>
        </w:rPr>
        <w:t>平台稳定</w:t>
      </w:r>
      <w:r>
        <w:rPr>
          <w:rFonts w:hint="eastAsia" w:ascii="仿宋_GB2312" w:hAnsi="仿宋_GB2312" w:eastAsia="仿宋_GB2312" w:cs="仿宋_GB2312"/>
          <w:sz w:val="32"/>
          <w:szCs w:val="32"/>
        </w:rPr>
        <w:t>运行。</w:t>
      </w:r>
    </w:p>
    <w:p w14:paraId="333D1DA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对信息系统软件进行升级、优化、漏洞修复，保障系统稳定、安全运行。</w:t>
      </w:r>
    </w:p>
    <w:p w14:paraId="6F06C6E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与第三方系统对接的服务</w:t>
      </w:r>
      <w:r>
        <w:rPr>
          <w:rFonts w:hint="eastAsia" w:ascii="仿宋_GB2312" w:hAnsi="仿宋_GB2312" w:eastAsia="仿宋_GB2312" w:cs="仿宋_GB2312"/>
          <w:sz w:val="32"/>
          <w:szCs w:val="32"/>
        </w:rPr>
        <w:t>（如</w:t>
      </w:r>
      <w:r>
        <w:rPr>
          <w:rFonts w:hint="eastAsia" w:ascii="仿宋_GB2312" w:hAnsi="仿宋_GB2312" w:eastAsia="仿宋_GB2312" w:cs="仿宋_GB2312"/>
          <w:sz w:val="32"/>
          <w:szCs w:val="32"/>
          <w:lang w:val="en-US" w:eastAsia="zh-CN"/>
        </w:rPr>
        <w:t>数据交换维护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短信发送维护</w:t>
      </w:r>
      <w:r>
        <w:rPr>
          <w:rFonts w:hint="eastAsia" w:ascii="仿宋_GB2312" w:hAnsi="仿宋_GB2312" w:eastAsia="仿宋_GB2312" w:cs="仿宋_GB2312"/>
          <w:sz w:val="32"/>
          <w:szCs w:val="32"/>
        </w:rPr>
        <w:t>等）进行定期检查、</w:t>
      </w:r>
      <w:r>
        <w:rPr>
          <w:rFonts w:hint="eastAsia" w:ascii="仿宋_GB2312" w:hAnsi="仿宋_GB2312" w:eastAsia="仿宋_GB2312" w:cs="仿宋_GB2312"/>
          <w:sz w:val="32"/>
          <w:szCs w:val="32"/>
          <w:lang w:val="en-US" w:eastAsia="zh-CN"/>
        </w:rPr>
        <w:t>维护</w:t>
      </w:r>
      <w:r>
        <w:rPr>
          <w:rFonts w:hint="eastAsia" w:ascii="仿宋_GB2312" w:hAnsi="仿宋_GB2312" w:eastAsia="仿宋_GB2312" w:cs="仿宋_GB2312"/>
          <w:sz w:val="32"/>
          <w:szCs w:val="32"/>
        </w:rPr>
        <w:t>，及时</w:t>
      </w:r>
      <w:r>
        <w:rPr>
          <w:rFonts w:hint="eastAsia" w:ascii="仿宋_GB2312" w:hAnsi="仿宋_GB2312" w:eastAsia="仿宋_GB2312" w:cs="仿宋_GB2312"/>
          <w:sz w:val="32"/>
          <w:szCs w:val="32"/>
          <w:lang w:val="en-US" w:eastAsia="zh-CN"/>
        </w:rPr>
        <w:t>对监控异常的数据进行处理</w:t>
      </w:r>
      <w:r>
        <w:rPr>
          <w:rFonts w:hint="eastAsia" w:ascii="仿宋_GB2312" w:hAnsi="仿宋_GB2312" w:eastAsia="仿宋_GB2312" w:cs="仿宋_GB2312"/>
          <w:sz w:val="32"/>
          <w:szCs w:val="32"/>
        </w:rPr>
        <w:t>。</w:t>
      </w:r>
    </w:p>
    <w:p w14:paraId="7E7DE76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val="en-US" w:eastAsia="zh-CN"/>
        </w:rPr>
        <w:t>重保服务和</w:t>
      </w:r>
      <w:r>
        <w:rPr>
          <w:rFonts w:hint="eastAsia" w:ascii="仿宋_GB2312" w:hAnsi="仿宋_GB2312" w:eastAsia="仿宋_GB2312" w:cs="仿宋_GB2312"/>
          <w:sz w:val="32"/>
          <w:szCs w:val="32"/>
        </w:rPr>
        <w:t>应急技术支持，确保在突发情况下能够快速响应并解决问题。</w:t>
      </w:r>
    </w:p>
    <w:p w14:paraId="128C47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维护方式</w:t>
      </w:r>
    </w:p>
    <w:p w14:paraId="57E3CC3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提供远程维护服务及现场维护服务。</w:t>
      </w:r>
    </w:p>
    <w:p w14:paraId="2D7135A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设立专门的技术服务团队，配备专业技术人员，确保维护服务的及时性和专业性。</w:t>
      </w:r>
    </w:p>
    <w:p w14:paraId="10E36D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响应时间</w:t>
      </w:r>
    </w:p>
    <w:p w14:paraId="65F87E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1.对于一般故障，应在接到通知后10分钟内响应，并在2小时内解决。</w:t>
      </w:r>
    </w:p>
    <w:p w14:paraId="730AF30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2.对于重大故障，应在接到通知后30分钟内到达现场，并在6小时内完成修复。</w:t>
      </w:r>
    </w:p>
    <w:p w14:paraId="75F585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其他要求</w:t>
      </w:r>
    </w:p>
    <w:p w14:paraId="49B8AC0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供应商应提供详细的维护计划和服务方案，明确维护流程、责任分工及应急处理措施。</w:t>
      </w:r>
    </w:p>
    <w:p w14:paraId="21530F07">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在服务期内，供应商需定期向我单位提交维护报告，包括</w:t>
      </w:r>
      <w:r>
        <w:rPr>
          <w:rFonts w:hint="eastAsia" w:ascii="仿宋_GB2312" w:hAnsi="仿宋_GB2312" w:eastAsia="仿宋_GB2312" w:cs="仿宋_GB2312"/>
          <w:sz w:val="32"/>
          <w:szCs w:val="32"/>
          <w:lang w:val="en-US" w:eastAsia="zh-CN"/>
        </w:rPr>
        <w:t>专线</w:t>
      </w:r>
      <w:r>
        <w:rPr>
          <w:rFonts w:hint="eastAsia" w:ascii="仿宋_GB2312" w:hAnsi="仿宋_GB2312" w:eastAsia="仿宋_GB2312" w:cs="仿宋_GB2312"/>
          <w:sz w:val="32"/>
          <w:szCs w:val="32"/>
        </w:rPr>
        <w:t>运行情况、维护记录、故障处理情况等内容。</w:t>
      </w:r>
    </w:p>
    <w:p w14:paraId="3FE42E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3.供应商需配合我单位进行相关培训工作，确保我单位人员能够熟练操作和使用相关系统。</w:t>
      </w:r>
    </w:p>
    <w:p w14:paraId="0E2D4B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四、报价文件内容</w:t>
      </w:r>
    </w:p>
    <w:p w14:paraId="3590E99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报价文件需提交以下资料：</w:t>
      </w:r>
    </w:p>
    <w:p w14:paraId="1AFD0A0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1.需提交营业执照（复印件加盖公章）。</w:t>
      </w:r>
    </w:p>
    <w:p w14:paraId="4795FF6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2.需提交法定代表人身份证（复印件加盖公章）；若经办人是法定代表人委托代理人，需提供法定代表人针对本项目的授权委托书原件及委托代理人身份证（复印件加盖公章）。</w:t>
      </w:r>
    </w:p>
    <w:p w14:paraId="403D8B3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需提交项目报价文件，包括详细的费用明细、服务内容及方案等。</w:t>
      </w:r>
    </w:p>
    <w:p w14:paraId="59810C1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供应商认为需要提交的其他材料。</w:t>
      </w:r>
    </w:p>
    <w:p w14:paraId="4487EA5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报价文件须加盖公章，并用一次性密封条进行密封。</w:t>
      </w:r>
    </w:p>
    <w:p w14:paraId="02DBB6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、询价方式</w:t>
      </w:r>
    </w:p>
    <w:p w14:paraId="503C84A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本次询价采用综合评分法，根据供应商的报价、服务方案、技术能力、信誉等因素进行综合评定，确定最终合作单位。</w:t>
      </w:r>
    </w:p>
    <w:p w14:paraId="3C4DC9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六、询价清单</w:t>
      </w:r>
    </w:p>
    <w:tbl>
      <w:tblPr>
        <w:tblStyle w:val="4"/>
        <w:tblW w:w="8669" w:type="dxa"/>
        <w:tblInd w:w="211"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623"/>
        <w:gridCol w:w="2320"/>
        <w:gridCol w:w="3826"/>
        <w:gridCol w:w="1900"/>
      </w:tblGrid>
      <w:tr w14:paraId="3E14A658">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945" w:hRule="atLeast"/>
        </w:trPr>
        <w:tc>
          <w:tcPr>
            <w:tcW w:w="623" w:type="dxa"/>
            <w:noWrap w:val="0"/>
            <w:vAlign w:val="center"/>
          </w:tcPr>
          <w:p w14:paraId="0924DA92">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序号</w:t>
            </w:r>
          </w:p>
        </w:tc>
        <w:tc>
          <w:tcPr>
            <w:tcW w:w="2320" w:type="dxa"/>
            <w:noWrap w:val="0"/>
            <w:vAlign w:val="center"/>
          </w:tcPr>
          <w:p w14:paraId="590BFD2E">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维保项</w:t>
            </w:r>
          </w:p>
        </w:tc>
        <w:tc>
          <w:tcPr>
            <w:tcW w:w="3826" w:type="dxa"/>
            <w:noWrap w:val="0"/>
            <w:vAlign w:val="center"/>
          </w:tcPr>
          <w:p w14:paraId="2A4523AB">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基本维保内容</w:t>
            </w:r>
          </w:p>
        </w:tc>
        <w:tc>
          <w:tcPr>
            <w:tcW w:w="1900" w:type="dxa"/>
            <w:noWrap w:val="0"/>
            <w:vAlign w:val="center"/>
          </w:tcPr>
          <w:p w14:paraId="2B3826B3">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维保预算（万元）</w:t>
            </w:r>
          </w:p>
        </w:tc>
      </w:tr>
      <w:tr w14:paraId="0711BDF3">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1027" w:hRule="atLeast"/>
        </w:trPr>
        <w:tc>
          <w:tcPr>
            <w:tcW w:w="623" w:type="dxa"/>
            <w:noWrap w:val="0"/>
            <w:vAlign w:val="center"/>
          </w:tcPr>
          <w:p w14:paraId="52ADBD05">
            <w:pPr>
              <w:widowControl/>
              <w:spacing w:line="300" w:lineRule="exact"/>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w:t>
            </w:r>
          </w:p>
        </w:tc>
        <w:tc>
          <w:tcPr>
            <w:tcW w:w="2320" w:type="dxa"/>
            <w:noWrap w:val="0"/>
            <w:vAlign w:val="center"/>
          </w:tcPr>
          <w:p w14:paraId="2C388AF0">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应用支撑软件（数据库软件、服务器操作系统、</w:t>
            </w:r>
            <w:r>
              <w:rPr>
                <w:rFonts w:hint="eastAsia" w:ascii="仿宋_GB2312" w:hAnsi="仿宋_GB2312" w:eastAsia="仿宋_GB2312" w:cs="仿宋_GB2312"/>
                <w:kern w:val="0"/>
                <w:sz w:val="22"/>
                <w:lang w:val="en-US" w:eastAsia="zh-CN"/>
              </w:rPr>
              <w:t>中间件</w:t>
            </w:r>
            <w:r>
              <w:rPr>
                <w:rFonts w:hint="eastAsia" w:ascii="仿宋_GB2312" w:hAnsi="仿宋_GB2312" w:eastAsia="仿宋_GB2312" w:cs="仿宋_GB2312"/>
                <w:kern w:val="0"/>
                <w:sz w:val="22"/>
                <w:lang w:eastAsia="zh-CN"/>
              </w:rPr>
              <w:t>、</w:t>
            </w:r>
            <w:r>
              <w:rPr>
                <w:rFonts w:hint="eastAsia" w:ascii="仿宋_GB2312" w:hAnsi="仿宋_GB2312" w:eastAsia="仿宋_GB2312" w:cs="仿宋_GB2312"/>
                <w:kern w:val="0"/>
                <w:sz w:val="22"/>
                <w:lang w:val="en-US" w:eastAsia="zh-CN"/>
              </w:rPr>
              <w:t>存储</w:t>
            </w:r>
            <w:r>
              <w:rPr>
                <w:rFonts w:hint="eastAsia" w:ascii="仿宋_GB2312" w:hAnsi="仿宋_GB2312" w:eastAsia="仿宋_GB2312" w:cs="仿宋_GB2312"/>
                <w:kern w:val="0"/>
                <w:sz w:val="22"/>
              </w:rPr>
              <w:t>）</w:t>
            </w:r>
          </w:p>
        </w:tc>
        <w:tc>
          <w:tcPr>
            <w:tcW w:w="3826" w:type="dxa"/>
            <w:noWrap w:val="0"/>
            <w:vAlign w:val="center"/>
          </w:tcPr>
          <w:p w14:paraId="3D6D52F3">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系统日常运行维护、系统日志维护、软件故障诊断与排除、</w:t>
            </w:r>
            <w:r>
              <w:rPr>
                <w:rFonts w:hint="eastAsia" w:ascii="仿宋_GB2312" w:hAnsi="仿宋_GB2312" w:eastAsia="仿宋_GB2312" w:cs="仿宋_GB2312"/>
                <w:kern w:val="0"/>
                <w:sz w:val="22"/>
                <w:lang w:val="en-US" w:eastAsia="zh-CN"/>
              </w:rPr>
              <w:t>漏洞排查与修复</w:t>
            </w:r>
            <w:r>
              <w:rPr>
                <w:rFonts w:hint="eastAsia" w:ascii="仿宋_GB2312" w:hAnsi="仿宋_GB2312" w:eastAsia="仿宋_GB2312" w:cs="仿宋_GB2312"/>
                <w:kern w:val="0"/>
                <w:sz w:val="22"/>
                <w:lang w:eastAsia="zh-CN"/>
              </w:rPr>
              <w:t>、</w:t>
            </w:r>
            <w:r>
              <w:rPr>
                <w:rFonts w:hint="eastAsia" w:ascii="仿宋_GB2312" w:hAnsi="仿宋_GB2312" w:eastAsia="仿宋_GB2312" w:cs="仿宋_GB2312"/>
                <w:kern w:val="0"/>
                <w:sz w:val="22"/>
              </w:rPr>
              <w:t>数据备份与恢复。</w:t>
            </w:r>
          </w:p>
        </w:tc>
        <w:tc>
          <w:tcPr>
            <w:tcW w:w="1900" w:type="dxa"/>
            <w:noWrap w:val="0"/>
            <w:vAlign w:val="center"/>
          </w:tcPr>
          <w:p w14:paraId="60C543F7">
            <w:pPr>
              <w:widowControl/>
              <w:spacing w:line="300" w:lineRule="exact"/>
              <w:jc w:val="center"/>
              <w:rPr>
                <w:rFonts w:hint="eastAsia" w:ascii="仿宋_GB2312" w:hAnsi="仿宋_GB2312" w:eastAsia="仿宋_GB2312" w:cs="仿宋_GB2312"/>
                <w:kern w:val="0"/>
                <w:sz w:val="22"/>
              </w:rPr>
            </w:pPr>
          </w:p>
        </w:tc>
      </w:tr>
      <w:tr w14:paraId="489B465A">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1163" w:hRule="atLeast"/>
        </w:trPr>
        <w:tc>
          <w:tcPr>
            <w:tcW w:w="623" w:type="dxa"/>
            <w:noWrap w:val="0"/>
            <w:vAlign w:val="center"/>
          </w:tcPr>
          <w:p w14:paraId="2ABDEF2D">
            <w:pPr>
              <w:widowControl/>
              <w:spacing w:line="300" w:lineRule="exact"/>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w:t>
            </w:r>
          </w:p>
        </w:tc>
        <w:tc>
          <w:tcPr>
            <w:tcW w:w="2320" w:type="dxa"/>
            <w:noWrap w:val="0"/>
            <w:vAlign w:val="center"/>
          </w:tcPr>
          <w:p w14:paraId="5898C034">
            <w:pPr>
              <w:widowControl/>
              <w:spacing w:line="300" w:lineRule="exact"/>
              <w:jc w:val="center"/>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与第三方系统对接</w:t>
            </w:r>
          </w:p>
        </w:tc>
        <w:tc>
          <w:tcPr>
            <w:tcW w:w="3826" w:type="dxa"/>
            <w:noWrap w:val="0"/>
            <w:vAlign w:val="center"/>
          </w:tcPr>
          <w:p w14:paraId="0503C98F">
            <w:pPr>
              <w:widowControl/>
              <w:numPr>
                <w:ilvl w:val="0"/>
                <w:numId w:val="1"/>
              </w:numPr>
              <w:spacing w:line="300" w:lineRule="exact"/>
              <w:jc w:val="left"/>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数据交换日常监控、交换异常数据处理（如与惠州市工程建设项目审批管理平台业务数据交互）。</w:t>
            </w:r>
          </w:p>
          <w:p w14:paraId="132A9EBC">
            <w:pPr>
              <w:widowControl/>
              <w:numPr>
                <w:ilvl w:val="0"/>
                <w:numId w:val="1"/>
              </w:numPr>
              <w:spacing w:line="300" w:lineRule="exact"/>
              <w:jc w:val="left"/>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与云MAS平台的对接维护，手机短信发送监控及异常处理。</w:t>
            </w:r>
          </w:p>
        </w:tc>
        <w:tc>
          <w:tcPr>
            <w:tcW w:w="1900" w:type="dxa"/>
            <w:noWrap w:val="0"/>
            <w:vAlign w:val="center"/>
          </w:tcPr>
          <w:p w14:paraId="789FCA06">
            <w:pPr>
              <w:widowControl/>
              <w:spacing w:line="300" w:lineRule="exact"/>
              <w:jc w:val="center"/>
              <w:rPr>
                <w:rFonts w:hint="eastAsia" w:ascii="仿宋_GB2312" w:hAnsi="仿宋_GB2312" w:eastAsia="仿宋_GB2312" w:cs="仿宋_GB2312"/>
                <w:kern w:val="0"/>
                <w:sz w:val="22"/>
              </w:rPr>
            </w:pPr>
          </w:p>
        </w:tc>
      </w:tr>
      <w:tr w14:paraId="744BEC91">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973" w:hRule="atLeast"/>
        </w:trPr>
        <w:tc>
          <w:tcPr>
            <w:tcW w:w="623" w:type="dxa"/>
            <w:noWrap w:val="0"/>
            <w:vAlign w:val="center"/>
          </w:tcPr>
          <w:p w14:paraId="7E00492D">
            <w:pPr>
              <w:widowControl/>
              <w:spacing w:line="300" w:lineRule="exact"/>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w:t>
            </w:r>
          </w:p>
        </w:tc>
        <w:tc>
          <w:tcPr>
            <w:tcW w:w="2320" w:type="dxa"/>
            <w:noWrap w:val="0"/>
            <w:vAlign w:val="center"/>
          </w:tcPr>
          <w:p w14:paraId="7236E65C">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lang w:val="en-US" w:eastAsia="zh-CN"/>
              </w:rPr>
              <w:t>工作门户系统</w:t>
            </w:r>
          </w:p>
        </w:tc>
        <w:tc>
          <w:tcPr>
            <w:tcW w:w="3826" w:type="dxa"/>
            <w:noWrap w:val="0"/>
            <w:vAlign w:val="center"/>
          </w:tcPr>
          <w:p w14:paraId="4D075286">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系统日常运行维护、代码调优、系统日志维护、故障诊断与排除、性能监控、功能迭代优化</w:t>
            </w:r>
            <w:r>
              <w:rPr>
                <w:rFonts w:hint="eastAsia" w:ascii="仿宋_GB2312" w:hAnsi="仿宋_GB2312" w:eastAsia="仿宋_GB2312" w:cs="仿宋_GB2312"/>
                <w:kern w:val="0"/>
                <w:sz w:val="22"/>
                <w:lang w:eastAsia="zh-CN"/>
              </w:rPr>
              <w:t>、</w:t>
            </w:r>
            <w:r>
              <w:rPr>
                <w:rFonts w:hint="eastAsia" w:ascii="仿宋_GB2312" w:hAnsi="仿宋_GB2312" w:eastAsia="仿宋_GB2312" w:cs="仿宋_GB2312"/>
                <w:kern w:val="0"/>
                <w:sz w:val="22"/>
              </w:rPr>
              <w:t>数据备份与恢复。</w:t>
            </w:r>
          </w:p>
        </w:tc>
        <w:tc>
          <w:tcPr>
            <w:tcW w:w="1900" w:type="dxa"/>
            <w:noWrap w:val="0"/>
            <w:vAlign w:val="center"/>
          </w:tcPr>
          <w:p w14:paraId="0EFDDC15">
            <w:pPr>
              <w:widowControl/>
              <w:spacing w:line="300" w:lineRule="exact"/>
              <w:jc w:val="center"/>
              <w:rPr>
                <w:rFonts w:hint="eastAsia" w:ascii="仿宋_GB2312" w:hAnsi="仿宋_GB2312" w:eastAsia="仿宋_GB2312" w:cs="仿宋_GB2312"/>
                <w:kern w:val="0"/>
                <w:sz w:val="22"/>
              </w:rPr>
            </w:pPr>
          </w:p>
        </w:tc>
      </w:tr>
      <w:tr w14:paraId="53BC8CE9">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1048" w:hRule="atLeast"/>
        </w:trPr>
        <w:tc>
          <w:tcPr>
            <w:tcW w:w="623" w:type="dxa"/>
            <w:noWrap w:val="0"/>
            <w:vAlign w:val="center"/>
          </w:tcPr>
          <w:p w14:paraId="50F7A824">
            <w:pPr>
              <w:widowControl/>
              <w:spacing w:line="300" w:lineRule="exact"/>
              <w:jc w:val="center"/>
              <w:rPr>
                <w:rFonts w:hint="eastAsia" w:ascii="仿宋_GB2312" w:hAnsi="仿宋_GB2312" w:eastAsia="仿宋_GB2312" w:cs="仿宋_GB2312"/>
                <w:color w:val="000000"/>
                <w:kern w:val="0"/>
                <w:sz w:val="18"/>
                <w:szCs w:val="18"/>
                <w:lang w:val="en-US" w:eastAsia="zh-CN"/>
              </w:rPr>
            </w:pPr>
            <w:r>
              <w:rPr>
                <w:rFonts w:hint="eastAsia" w:ascii="仿宋_GB2312" w:hAnsi="仿宋_GB2312" w:eastAsia="仿宋_GB2312" w:cs="仿宋_GB2312"/>
                <w:color w:val="000000"/>
                <w:kern w:val="0"/>
                <w:sz w:val="18"/>
                <w:szCs w:val="18"/>
                <w:lang w:val="en-US" w:eastAsia="zh-CN"/>
              </w:rPr>
              <w:t>4</w:t>
            </w:r>
          </w:p>
        </w:tc>
        <w:tc>
          <w:tcPr>
            <w:tcW w:w="2320" w:type="dxa"/>
            <w:noWrap w:val="0"/>
            <w:vAlign w:val="center"/>
          </w:tcPr>
          <w:p w14:paraId="39D180CA">
            <w:pPr>
              <w:widowControl/>
              <w:spacing w:line="300" w:lineRule="exact"/>
              <w:jc w:val="center"/>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电子政务系统</w:t>
            </w:r>
          </w:p>
        </w:tc>
        <w:tc>
          <w:tcPr>
            <w:tcW w:w="3826" w:type="dxa"/>
            <w:noWrap w:val="0"/>
            <w:vAlign w:val="center"/>
          </w:tcPr>
          <w:p w14:paraId="45D8FC85">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系统日常运行维护、代码调优、系统日志维护、故障诊断与排除、性能监控、功能迭代优化</w:t>
            </w:r>
            <w:r>
              <w:rPr>
                <w:rFonts w:hint="eastAsia" w:ascii="仿宋_GB2312" w:hAnsi="仿宋_GB2312" w:eastAsia="仿宋_GB2312" w:cs="仿宋_GB2312"/>
                <w:kern w:val="0"/>
                <w:sz w:val="22"/>
                <w:lang w:eastAsia="zh-CN"/>
              </w:rPr>
              <w:t>、</w:t>
            </w:r>
            <w:r>
              <w:rPr>
                <w:rFonts w:hint="eastAsia" w:ascii="仿宋_GB2312" w:hAnsi="仿宋_GB2312" w:eastAsia="仿宋_GB2312" w:cs="仿宋_GB2312"/>
                <w:kern w:val="0"/>
                <w:sz w:val="22"/>
              </w:rPr>
              <w:t>数据备份与恢复。</w:t>
            </w:r>
          </w:p>
        </w:tc>
        <w:tc>
          <w:tcPr>
            <w:tcW w:w="1900" w:type="dxa"/>
            <w:noWrap w:val="0"/>
            <w:vAlign w:val="center"/>
          </w:tcPr>
          <w:p w14:paraId="312DA248">
            <w:pPr>
              <w:widowControl/>
              <w:spacing w:line="300" w:lineRule="exact"/>
              <w:jc w:val="center"/>
              <w:rPr>
                <w:rFonts w:hint="eastAsia" w:ascii="仿宋_GB2312" w:hAnsi="仿宋_GB2312" w:eastAsia="仿宋_GB2312" w:cs="仿宋_GB2312"/>
                <w:kern w:val="0"/>
                <w:sz w:val="22"/>
              </w:rPr>
            </w:pPr>
          </w:p>
        </w:tc>
      </w:tr>
      <w:tr w14:paraId="23525375">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899" w:hRule="atLeast"/>
        </w:trPr>
        <w:tc>
          <w:tcPr>
            <w:tcW w:w="623" w:type="dxa"/>
            <w:noWrap w:val="0"/>
            <w:vAlign w:val="center"/>
          </w:tcPr>
          <w:p w14:paraId="356F98B7">
            <w:pPr>
              <w:widowControl/>
              <w:spacing w:line="300" w:lineRule="exact"/>
              <w:jc w:val="center"/>
              <w:rPr>
                <w:rFonts w:hint="eastAsia" w:ascii="仿宋_GB2312" w:hAnsi="仿宋_GB2312" w:eastAsia="仿宋_GB2312" w:cs="仿宋_GB2312"/>
                <w:color w:val="000000"/>
                <w:kern w:val="0"/>
                <w:sz w:val="18"/>
                <w:szCs w:val="18"/>
                <w:lang w:val="en-US" w:eastAsia="zh-CN"/>
              </w:rPr>
            </w:pPr>
            <w:r>
              <w:rPr>
                <w:rFonts w:hint="eastAsia" w:ascii="仿宋_GB2312" w:hAnsi="仿宋_GB2312" w:eastAsia="仿宋_GB2312" w:cs="仿宋_GB2312"/>
                <w:color w:val="000000"/>
                <w:kern w:val="0"/>
                <w:sz w:val="18"/>
                <w:szCs w:val="18"/>
                <w:lang w:val="en-US" w:eastAsia="zh-CN"/>
              </w:rPr>
              <w:t>5</w:t>
            </w:r>
          </w:p>
        </w:tc>
        <w:tc>
          <w:tcPr>
            <w:tcW w:w="2320" w:type="dxa"/>
            <w:noWrap w:val="0"/>
            <w:vAlign w:val="center"/>
          </w:tcPr>
          <w:p w14:paraId="7D47B92E">
            <w:pPr>
              <w:widowControl/>
              <w:spacing w:line="300" w:lineRule="exact"/>
              <w:jc w:val="center"/>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数据交换与共享系统</w:t>
            </w:r>
          </w:p>
        </w:tc>
        <w:tc>
          <w:tcPr>
            <w:tcW w:w="3826" w:type="dxa"/>
            <w:noWrap w:val="0"/>
            <w:vAlign w:val="center"/>
          </w:tcPr>
          <w:p w14:paraId="6F107C13">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系统日常运行维护、代码调优、系统日志维护、故障诊断与排除、性能监控、功能迭代优化</w:t>
            </w:r>
            <w:r>
              <w:rPr>
                <w:rFonts w:hint="eastAsia" w:ascii="仿宋_GB2312" w:hAnsi="仿宋_GB2312" w:eastAsia="仿宋_GB2312" w:cs="仿宋_GB2312"/>
                <w:kern w:val="0"/>
                <w:sz w:val="22"/>
                <w:lang w:eastAsia="zh-CN"/>
              </w:rPr>
              <w:t>、</w:t>
            </w:r>
            <w:r>
              <w:rPr>
                <w:rFonts w:hint="eastAsia" w:ascii="仿宋_GB2312" w:hAnsi="仿宋_GB2312" w:eastAsia="仿宋_GB2312" w:cs="仿宋_GB2312"/>
                <w:kern w:val="0"/>
                <w:sz w:val="22"/>
              </w:rPr>
              <w:t>数据备份与恢复。</w:t>
            </w:r>
          </w:p>
        </w:tc>
        <w:tc>
          <w:tcPr>
            <w:tcW w:w="1900" w:type="dxa"/>
            <w:noWrap w:val="0"/>
            <w:vAlign w:val="center"/>
          </w:tcPr>
          <w:p w14:paraId="6321A396">
            <w:pPr>
              <w:widowControl/>
              <w:spacing w:line="300" w:lineRule="exact"/>
              <w:jc w:val="center"/>
              <w:rPr>
                <w:rFonts w:hint="eastAsia" w:ascii="仿宋_GB2312" w:hAnsi="仿宋_GB2312" w:eastAsia="仿宋_GB2312" w:cs="仿宋_GB2312"/>
                <w:kern w:val="0"/>
                <w:sz w:val="22"/>
              </w:rPr>
            </w:pPr>
          </w:p>
        </w:tc>
      </w:tr>
      <w:tr w14:paraId="5F39597E">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916" w:hRule="atLeast"/>
        </w:trPr>
        <w:tc>
          <w:tcPr>
            <w:tcW w:w="623" w:type="dxa"/>
            <w:noWrap w:val="0"/>
            <w:vAlign w:val="center"/>
          </w:tcPr>
          <w:p w14:paraId="73B90286">
            <w:pPr>
              <w:widowControl/>
              <w:spacing w:line="300" w:lineRule="exact"/>
              <w:jc w:val="center"/>
              <w:rPr>
                <w:rFonts w:hint="eastAsia" w:ascii="仿宋_GB2312" w:hAnsi="仿宋_GB2312" w:eastAsia="仿宋_GB2312" w:cs="仿宋_GB2312"/>
                <w:color w:val="000000"/>
                <w:kern w:val="0"/>
                <w:sz w:val="18"/>
                <w:szCs w:val="18"/>
                <w:lang w:val="en-US" w:eastAsia="zh-CN"/>
              </w:rPr>
            </w:pPr>
            <w:r>
              <w:rPr>
                <w:rFonts w:hint="eastAsia" w:ascii="仿宋_GB2312" w:hAnsi="仿宋_GB2312" w:eastAsia="仿宋_GB2312" w:cs="仿宋_GB2312"/>
                <w:color w:val="000000"/>
                <w:kern w:val="0"/>
                <w:sz w:val="18"/>
                <w:szCs w:val="18"/>
                <w:lang w:val="en-US" w:eastAsia="zh-CN"/>
              </w:rPr>
              <w:t>6</w:t>
            </w:r>
          </w:p>
        </w:tc>
        <w:tc>
          <w:tcPr>
            <w:tcW w:w="2320" w:type="dxa"/>
            <w:noWrap w:val="0"/>
            <w:vAlign w:val="center"/>
          </w:tcPr>
          <w:p w14:paraId="6F109F9A">
            <w:pPr>
              <w:widowControl/>
              <w:spacing w:line="300" w:lineRule="exact"/>
              <w:jc w:val="center"/>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APP</w:t>
            </w:r>
          </w:p>
        </w:tc>
        <w:tc>
          <w:tcPr>
            <w:tcW w:w="3826" w:type="dxa"/>
            <w:noWrap w:val="0"/>
            <w:vAlign w:val="center"/>
          </w:tcPr>
          <w:p w14:paraId="67E48134">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系统日常运行维护、代码调优、系统日志维护、故障诊断与排除、性能监控、功能迭代优化</w:t>
            </w:r>
            <w:r>
              <w:rPr>
                <w:rFonts w:hint="eastAsia" w:ascii="仿宋_GB2312" w:hAnsi="仿宋_GB2312" w:eastAsia="仿宋_GB2312" w:cs="仿宋_GB2312"/>
                <w:kern w:val="0"/>
                <w:sz w:val="22"/>
                <w:lang w:eastAsia="zh-CN"/>
              </w:rPr>
              <w:t>、</w:t>
            </w:r>
            <w:r>
              <w:rPr>
                <w:rFonts w:hint="eastAsia" w:ascii="仿宋_GB2312" w:hAnsi="仿宋_GB2312" w:eastAsia="仿宋_GB2312" w:cs="仿宋_GB2312"/>
                <w:kern w:val="0"/>
                <w:sz w:val="22"/>
              </w:rPr>
              <w:t>数据备份与恢复。</w:t>
            </w:r>
          </w:p>
        </w:tc>
        <w:tc>
          <w:tcPr>
            <w:tcW w:w="1900" w:type="dxa"/>
            <w:noWrap w:val="0"/>
            <w:vAlign w:val="center"/>
          </w:tcPr>
          <w:p w14:paraId="14B13553">
            <w:pPr>
              <w:widowControl/>
              <w:spacing w:line="300" w:lineRule="exact"/>
              <w:jc w:val="center"/>
              <w:rPr>
                <w:rFonts w:hint="eastAsia" w:ascii="仿宋_GB2312" w:hAnsi="仿宋_GB2312" w:eastAsia="仿宋_GB2312" w:cs="仿宋_GB2312"/>
                <w:kern w:val="0"/>
                <w:sz w:val="22"/>
              </w:rPr>
            </w:pPr>
          </w:p>
        </w:tc>
      </w:tr>
      <w:tr w14:paraId="7CADDDC7">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851" w:hRule="atLeast"/>
        </w:trPr>
        <w:tc>
          <w:tcPr>
            <w:tcW w:w="623" w:type="dxa"/>
            <w:noWrap w:val="0"/>
            <w:vAlign w:val="center"/>
          </w:tcPr>
          <w:p w14:paraId="75515C7F">
            <w:pPr>
              <w:widowControl/>
              <w:spacing w:line="300" w:lineRule="exact"/>
              <w:jc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val="en-US" w:eastAsia="zh-CN"/>
              </w:rPr>
              <w:t>7</w:t>
            </w:r>
          </w:p>
        </w:tc>
        <w:tc>
          <w:tcPr>
            <w:tcW w:w="2320" w:type="dxa"/>
            <w:noWrap w:val="0"/>
            <w:vAlign w:val="center"/>
          </w:tcPr>
          <w:p w14:paraId="276C24B9">
            <w:pPr>
              <w:widowControl/>
              <w:spacing w:line="300" w:lineRule="exact"/>
              <w:jc w:val="center"/>
              <w:rPr>
                <w:rFonts w:hint="eastAsia" w:ascii="仿宋_GB2312" w:hAnsi="仿宋_GB2312" w:eastAsia="仿宋_GB2312" w:cs="仿宋_GB2312"/>
                <w:kern w:val="0"/>
                <w:sz w:val="22"/>
                <w:lang w:eastAsia="zh-CN"/>
              </w:rPr>
            </w:pPr>
            <w:r>
              <w:rPr>
                <w:rFonts w:hint="eastAsia" w:ascii="仿宋_GB2312" w:hAnsi="仿宋_GB2312" w:eastAsia="仿宋_GB2312" w:cs="仿宋_GB2312"/>
                <w:kern w:val="0"/>
                <w:sz w:val="22"/>
                <w:lang w:eastAsia="zh-CN"/>
              </w:rPr>
              <w:t>用户技术支持与操作指导服务</w:t>
            </w:r>
          </w:p>
        </w:tc>
        <w:tc>
          <w:tcPr>
            <w:tcW w:w="3826" w:type="dxa"/>
            <w:noWrap w:val="0"/>
            <w:vAlign w:val="center"/>
          </w:tcPr>
          <w:p w14:paraId="5ADFF64C">
            <w:pPr>
              <w:widowControl/>
              <w:spacing w:line="300" w:lineRule="exact"/>
              <w:jc w:val="center"/>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各用户（应急局用户及所辖区域内的企业用户）日常所遇问题的具体解答及指导。</w:t>
            </w:r>
          </w:p>
          <w:p w14:paraId="459EE7EB">
            <w:pPr>
              <w:widowControl/>
              <w:spacing w:line="300" w:lineRule="exact"/>
              <w:jc w:val="center"/>
              <w:rPr>
                <w:rFonts w:hint="eastAsia" w:ascii="仿宋_GB2312" w:hAnsi="仿宋_GB2312" w:eastAsia="仿宋_GB2312" w:cs="仿宋_GB2312"/>
                <w:kern w:val="0"/>
                <w:sz w:val="24"/>
                <w:szCs w:val="24"/>
              </w:rPr>
            </w:pPr>
          </w:p>
        </w:tc>
        <w:tc>
          <w:tcPr>
            <w:tcW w:w="1900" w:type="dxa"/>
            <w:noWrap w:val="0"/>
            <w:vAlign w:val="center"/>
          </w:tcPr>
          <w:p w14:paraId="38F3B2CE">
            <w:pPr>
              <w:widowControl/>
              <w:spacing w:line="300" w:lineRule="exact"/>
              <w:jc w:val="center"/>
              <w:rPr>
                <w:rFonts w:hint="eastAsia" w:ascii="仿宋_GB2312" w:hAnsi="仿宋_GB2312" w:eastAsia="仿宋_GB2312" w:cs="仿宋_GB2312"/>
                <w:kern w:val="0"/>
                <w:sz w:val="22"/>
              </w:rPr>
            </w:pPr>
          </w:p>
        </w:tc>
      </w:tr>
      <w:tr w14:paraId="23BC1DF1">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0" w:type="dxa"/>
            <w:left w:w="108" w:type="dxa"/>
            <w:bottom w:w="0" w:type="dxa"/>
            <w:right w:w="108" w:type="dxa"/>
          </w:tblCellMar>
        </w:tblPrEx>
        <w:trPr>
          <w:trHeight w:val="838" w:hRule="atLeast"/>
        </w:trPr>
        <w:tc>
          <w:tcPr>
            <w:tcW w:w="623" w:type="dxa"/>
            <w:noWrap w:val="0"/>
            <w:vAlign w:val="center"/>
          </w:tcPr>
          <w:p w14:paraId="4E35C077">
            <w:pPr>
              <w:widowControl/>
              <w:spacing w:line="300" w:lineRule="exact"/>
              <w:jc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val="en-US" w:eastAsia="zh-CN"/>
              </w:rPr>
              <w:t>8</w:t>
            </w:r>
          </w:p>
        </w:tc>
        <w:tc>
          <w:tcPr>
            <w:tcW w:w="2320" w:type="dxa"/>
            <w:noWrap w:val="0"/>
            <w:vAlign w:val="center"/>
          </w:tcPr>
          <w:p w14:paraId="04C03FC0">
            <w:pPr>
              <w:widowControl/>
              <w:spacing w:line="300"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szCs w:val="21"/>
                <w:lang w:val="en-US" w:eastAsia="zh-CN"/>
              </w:rPr>
              <w:t>IOS授权</w:t>
            </w:r>
          </w:p>
        </w:tc>
        <w:tc>
          <w:tcPr>
            <w:tcW w:w="3826" w:type="dxa"/>
            <w:noWrap w:val="0"/>
            <w:vAlign w:val="center"/>
          </w:tcPr>
          <w:p w14:paraId="457F2D02">
            <w:pPr>
              <w:widowControl/>
              <w:spacing w:line="300" w:lineRule="exact"/>
              <w:jc w:val="center"/>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lang w:val="en-US" w:eastAsia="zh-CN"/>
              </w:rPr>
              <w:t>IOS授权费用。</w:t>
            </w:r>
          </w:p>
        </w:tc>
        <w:tc>
          <w:tcPr>
            <w:tcW w:w="1900" w:type="dxa"/>
            <w:noWrap w:val="0"/>
            <w:vAlign w:val="center"/>
          </w:tcPr>
          <w:p w14:paraId="1A0E771E">
            <w:pPr>
              <w:widowControl/>
              <w:spacing w:line="300" w:lineRule="exact"/>
              <w:jc w:val="center"/>
              <w:rPr>
                <w:rFonts w:hint="eastAsia" w:ascii="仿宋_GB2312" w:hAnsi="仿宋_GB2312" w:eastAsia="仿宋_GB2312" w:cs="仿宋_GB2312"/>
                <w:kern w:val="0"/>
                <w:sz w:val="22"/>
              </w:rPr>
            </w:pPr>
          </w:p>
        </w:tc>
      </w:tr>
    </w:tbl>
    <w:p w14:paraId="21E916D4">
      <w:pPr>
        <w:rPr>
          <w:rFonts w:hint="eastAsia" w:ascii="仿宋_GB2312" w:hAnsi="仿宋_GB2312" w:eastAsia="仿宋_GB2312" w:cs="仿宋_GB2312"/>
        </w:rPr>
      </w:pPr>
    </w:p>
    <w:p w14:paraId="2FC561B5"/>
    <w:sectPr>
      <w:footerReference r:id="rId5" w:type="first"/>
      <w:headerReference r:id="rId3" w:type="default"/>
      <w:footerReference r:id="rId4" w:type="default"/>
      <w:pgSz w:w="11906" w:h="16838"/>
      <w:pgMar w:top="2098" w:right="1474" w:bottom="1984" w:left="1587"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F"/>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4C6B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C26E23">
                          <w:pPr>
                            <w:pStyle w:val="2"/>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r>
                            <w:rPr>
                              <w:rFonts w:hint="eastAsia" w:ascii="仿宋" w:hAnsi="仿宋" w:eastAsia="仿宋" w:cs="仿宋"/>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12C26E23">
                    <w:pPr>
                      <w:pStyle w:val="2"/>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r>
                      <w:rPr>
                        <w:rFonts w:hint="eastAsia" w:ascii="仿宋" w:hAnsi="仿宋" w:eastAsia="仿宋" w:cs="仿宋"/>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26D64">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E89AA1">
                          <w:pPr>
                            <w:pStyle w:val="2"/>
                          </w:pPr>
                          <w: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70E89AA1">
                    <w:pPr>
                      <w:pStyle w:val="2"/>
                    </w:pPr>
                    <w: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2A025">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27ED11"/>
    <w:multiLevelType w:val="singleLevel"/>
    <w:tmpl w:val="4927ED1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823892"/>
    <w:rsid w:val="67823892"/>
    <w:rsid w:val="FDFE9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2025-11-06T10:58:00Z</dcterms:created>
  <dc:creator>用户</dc:creator>
  <cp:lastModifiedBy>用户</cp:lastModifiedBy>
  <dcterms:modified xsi:type="dcterms:W3CDTF">2025-11-06T14:13:41Z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CD663FEDDD88406F9712A6A889191A29</vt:lpwstr>
  </property>
</Properties>
</file>