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jc w:val="both"/>
        <w:textAlignment w:val="auto"/>
        <w:rPr>
          <w:rFonts w:hint="eastAsia" w:ascii="黑体" w:hAnsi="黑体" w:eastAsia="黑体" w:cs="黑体"/>
          <w:sz w:val="32"/>
          <w:szCs w:val="32"/>
          <w:lang w:val="en-US" w:eastAsia="zh-CN"/>
        </w:rPr>
      </w:pP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《惠州大亚湾经济技术开发区</w:t>
      </w:r>
      <w:r>
        <w:rPr>
          <w:rFonts w:hint="eastAsia" w:ascii="方正小标宋简体" w:hAnsi="方正小标宋简体" w:eastAsia="方正小标宋简体" w:cs="方正小标宋简体"/>
          <w:sz w:val="44"/>
          <w:szCs w:val="44"/>
        </w:rPr>
        <w:t>关于划定</w:t>
      </w:r>
      <w:r>
        <w:rPr>
          <w:rFonts w:hint="eastAsia" w:ascii="方正小标宋简体" w:hAnsi="方正小标宋简体" w:eastAsia="方正小标宋简体" w:cs="方正小标宋简体"/>
          <w:sz w:val="44"/>
          <w:szCs w:val="44"/>
          <w:lang w:eastAsia="zh-CN"/>
        </w:rPr>
        <w:t>石头</w:t>
      </w:r>
      <w:r>
        <w:rPr>
          <w:rFonts w:hint="eastAsia" w:ascii="方正小标宋简体" w:hAnsi="方正小标宋简体" w:eastAsia="方正小标宋简体" w:cs="方正小标宋简体"/>
          <w:sz w:val="44"/>
          <w:szCs w:val="44"/>
        </w:rPr>
        <w:t>河</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color w:val="auto"/>
          <w:sz w:val="44"/>
          <w:szCs w:val="44"/>
          <w:lang w:eastAsia="zh-CN"/>
        </w:rPr>
        <w:t>河道</w:t>
      </w:r>
      <w:r>
        <w:rPr>
          <w:rFonts w:hint="eastAsia" w:ascii="方正小标宋简体" w:hAnsi="方正小标宋简体" w:eastAsia="方正小标宋简体" w:cs="方正小标宋简体"/>
          <w:sz w:val="44"/>
          <w:szCs w:val="44"/>
        </w:rPr>
        <w:t>管理范围的</w:t>
      </w:r>
      <w:r>
        <w:rPr>
          <w:rFonts w:hint="eastAsia" w:ascii="方正小标宋简体" w:hAnsi="方正小标宋简体" w:eastAsia="方正小标宋简体" w:cs="方正小标宋简体"/>
          <w:sz w:val="44"/>
          <w:szCs w:val="44"/>
          <w:lang w:eastAsia="zh-CN"/>
        </w:rPr>
        <w:t>公告》</w:t>
      </w:r>
      <w:r>
        <w:rPr>
          <w:rFonts w:hint="eastAsia" w:ascii="方正小标宋简体" w:hAnsi="方正小标宋简体" w:eastAsia="方正小标宋简体" w:cs="方正小标宋简体"/>
          <w:sz w:val="44"/>
          <w:szCs w:val="44"/>
          <w:lang w:val="en-US" w:eastAsia="zh-CN"/>
        </w:rPr>
        <w:t>解读</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jc w:val="both"/>
        <w:textAlignment w:val="auto"/>
        <w:rPr>
          <w:rFonts w:hint="eastAsia" w:ascii="仿宋_GB2312" w:hAnsi="仿宋_GB2312" w:eastAsia="仿宋_GB2312" w:cs="仿宋_GB2312"/>
          <w:sz w:val="32"/>
          <w:szCs w:val="32"/>
        </w:rPr>
      </w:pP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为依法规范河道湖泊（水库）的管护，保障河道行洪安全和生态安全，根据《</w:t>
      </w:r>
      <w:bookmarkStart w:id="0" w:name="OLE_LINK1"/>
      <w:r>
        <w:rPr>
          <w:rFonts w:hint="eastAsia" w:ascii="仿宋_GB2312" w:hAnsi="仿宋_GB2312" w:eastAsia="仿宋_GB2312" w:cs="仿宋_GB2312"/>
          <w:sz w:val="32"/>
          <w:szCs w:val="32"/>
        </w:rPr>
        <w:t>中华人民共和国防洪法</w:t>
      </w:r>
      <w:bookmarkEnd w:id="0"/>
      <w:r>
        <w:rPr>
          <w:rFonts w:hint="eastAsia" w:ascii="仿宋_GB2312" w:hAnsi="仿宋_GB2312" w:eastAsia="仿宋_GB2312" w:cs="仿宋_GB2312"/>
          <w:sz w:val="32"/>
          <w:szCs w:val="32"/>
        </w:rPr>
        <w:t>》《中华人民共和国水法》《中华人民共和国河道管理条例》</w:t>
      </w:r>
      <w:r>
        <w:rPr>
          <w:rFonts w:hint="eastAsia" w:ascii="仿宋_GB2312" w:hAnsi="仿宋_GB2312" w:eastAsia="仿宋_GB2312" w:cs="仿宋_GB2312"/>
          <w:color w:val="auto"/>
          <w:spacing w:val="-6"/>
          <w:sz w:val="32"/>
          <w:szCs w:val="32"/>
          <w:lang w:eastAsia="zh-CN"/>
        </w:rPr>
        <w:t>《广东省河道管理条例》</w:t>
      </w:r>
      <w:r>
        <w:rPr>
          <w:rFonts w:hint="eastAsia" w:ascii="仿宋_GB2312" w:hAnsi="仿宋_GB2312" w:eastAsia="仿宋_GB2312" w:cs="仿宋_GB2312"/>
          <w:color w:val="auto"/>
          <w:sz w:val="32"/>
          <w:szCs w:val="32"/>
        </w:rPr>
        <w:t>等法律法规的规定，并结合我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实际，制定了《</w:t>
      </w:r>
      <w:r>
        <w:rPr>
          <w:rFonts w:hint="eastAsia" w:ascii="仿宋_GB2312" w:hAnsi="仿宋_GB2312" w:eastAsia="仿宋_GB2312" w:cs="仿宋_GB2312"/>
          <w:color w:val="auto"/>
          <w:sz w:val="32"/>
          <w:szCs w:val="32"/>
          <w:lang w:eastAsia="zh-CN"/>
        </w:rPr>
        <w:t>惠州大亚湾经济技术开发区</w:t>
      </w:r>
      <w:r>
        <w:rPr>
          <w:rFonts w:hint="eastAsia" w:ascii="仿宋_GB2312" w:hAnsi="仿宋_GB2312" w:eastAsia="仿宋_GB2312" w:cs="仿宋_GB2312"/>
          <w:color w:val="auto"/>
          <w:sz w:val="32"/>
          <w:szCs w:val="32"/>
        </w:rPr>
        <w:t>关于划定</w:t>
      </w:r>
      <w:r>
        <w:rPr>
          <w:rFonts w:hint="eastAsia" w:ascii="仿宋_GB2312" w:hAnsi="仿宋_GB2312" w:eastAsia="仿宋_GB2312" w:cs="仿宋_GB2312"/>
          <w:color w:val="auto"/>
          <w:sz w:val="32"/>
          <w:szCs w:val="32"/>
          <w:lang w:eastAsia="zh-CN"/>
        </w:rPr>
        <w:t>石头</w:t>
      </w:r>
      <w:r>
        <w:rPr>
          <w:rFonts w:hint="eastAsia" w:ascii="仿宋_GB2312" w:hAnsi="仿宋_GB2312" w:eastAsia="仿宋_GB2312" w:cs="仿宋_GB2312"/>
          <w:color w:val="auto"/>
          <w:sz w:val="32"/>
          <w:szCs w:val="32"/>
        </w:rPr>
        <w:t>河</w:t>
      </w:r>
      <w:r>
        <w:rPr>
          <w:rFonts w:hint="eastAsia" w:ascii="仿宋_GB2312" w:hAnsi="仿宋_GB2312" w:eastAsia="仿宋_GB2312" w:cs="仿宋_GB2312"/>
          <w:strike w:val="0"/>
          <w:dstrike w:val="0"/>
          <w:color w:val="auto"/>
          <w:sz w:val="32"/>
          <w:szCs w:val="32"/>
          <w:lang w:eastAsia="zh-CN"/>
        </w:rPr>
        <w:t>河道</w:t>
      </w:r>
      <w:r>
        <w:rPr>
          <w:rFonts w:hint="eastAsia" w:ascii="仿宋_GB2312" w:hAnsi="仿宋_GB2312" w:eastAsia="仿宋_GB2312" w:cs="仿宋_GB2312"/>
          <w:sz w:val="32"/>
          <w:szCs w:val="32"/>
        </w:rPr>
        <w:t>管理范围的</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》（以下称《</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》），现解读如下：</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一、制定《</w:t>
      </w:r>
      <w:r>
        <w:rPr>
          <w:rFonts w:hint="eastAsia" w:ascii="黑体" w:hAnsi="黑体" w:eastAsia="黑体" w:cs="黑体"/>
          <w:sz w:val="32"/>
          <w:szCs w:val="32"/>
          <w:lang w:eastAsia="zh-CN"/>
        </w:rPr>
        <w:t>公告</w:t>
      </w:r>
      <w:r>
        <w:rPr>
          <w:rFonts w:hint="eastAsia" w:ascii="黑体" w:hAnsi="黑体" w:eastAsia="黑体" w:cs="黑体"/>
          <w:sz w:val="32"/>
          <w:szCs w:val="32"/>
        </w:rPr>
        <w:t>》的必要性</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河湖管理范围划定是依法保护水生态环境、水利工程和水资源的重要措施，是各级水行政主管部门的重要职责，也是加强水利管理的一项基础性工作。水法及水利工程的有关法律法规均对河湖管理有明确的规定。一些河湖及水利工程管理和保护范围边界不清、水土资源产权不明，导致的违法建设、违法耕种、违法设障等现象对水事管理秩序、水利工程安全、河湖生态环境等都构成了威胁。为依法规范河道湖泊（水库）的管护，保障河道行洪安全和生态安全，制定《</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》非常必要。</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二、制定《</w:t>
      </w:r>
      <w:r>
        <w:rPr>
          <w:rFonts w:hint="eastAsia" w:ascii="黑体" w:hAnsi="黑体" w:eastAsia="黑体" w:cs="黑体"/>
          <w:sz w:val="32"/>
          <w:szCs w:val="32"/>
          <w:lang w:eastAsia="zh-CN"/>
        </w:rPr>
        <w:t>公告</w:t>
      </w:r>
      <w:r>
        <w:rPr>
          <w:rFonts w:hint="eastAsia" w:ascii="黑体" w:hAnsi="黑体" w:eastAsia="黑体" w:cs="黑体"/>
          <w:sz w:val="32"/>
          <w:szCs w:val="32"/>
        </w:rPr>
        <w:t>》的主要依据和过程</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（一）主要法律法规规章依据</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华人民共和国水法》第四十三条：“国家对水利工程实施保护。国家所有的水利工程应当按照国务院的规定划定工程管理和保护范围等在水利工程保护范围内，禁止从事影响水利工程运行和危害水利工程安全的爆破、打井、采石、取土等活动。”</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中华人民共和国河道管理条例》第二十条“有堤防的河道，其管理范围为两岸堤防之间的水域、沙洲、滩地（包括可耕地）、行洪区、两岸堤防及护堤地。无堤防的河道，其管理范围根据历史最高洪水位或者设计洪水位确定。河道的具体管理范围，由县级以上地方人民政府负责划定。”</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w:t>
      </w:r>
      <w:r>
        <w:rPr>
          <w:rFonts w:hint="eastAsia" w:ascii="楷体_GB2312" w:hAnsi="楷体_GB2312" w:eastAsia="楷体_GB2312" w:cs="楷体_GB2312"/>
          <w:sz w:val="32"/>
          <w:szCs w:val="32"/>
          <w:lang w:eastAsia="zh-CN"/>
        </w:rPr>
        <w:t>公告</w:t>
      </w:r>
      <w:r>
        <w:rPr>
          <w:rFonts w:hint="eastAsia" w:ascii="楷体_GB2312" w:hAnsi="楷体_GB2312" w:eastAsia="楷体_GB2312" w:cs="楷体_GB2312"/>
          <w:sz w:val="32"/>
          <w:szCs w:val="32"/>
        </w:rPr>
        <w:t>》制定过程</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》制定过程中，严格遵守规范性文件制定有关规定和要求，严格遵循上位法规定，确保《</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》内容与现行上位法规定保持一致，不出现不符合上位法律法规规章或者缺乏政策法规依据的情况。</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三、《</w:t>
      </w:r>
      <w:r>
        <w:rPr>
          <w:rFonts w:hint="eastAsia" w:ascii="黑体" w:hAnsi="黑体" w:eastAsia="黑体" w:cs="黑体"/>
          <w:sz w:val="32"/>
          <w:szCs w:val="32"/>
          <w:lang w:eastAsia="zh-CN"/>
        </w:rPr>
        <w:t>公告</w:t>
      </w:r>
      <w:r>
        <w:rPr>
          <w:rFonts w:hint="eastAsia" w:ascii="黑体" w:hAnsi="黑体" w:eastAsia="黑体" w:cs="黑体"/>
          <w:sz w:val="32"/>
          <w:szCs w:val="32"/>
        </w:rPr>
        <w:t>》的主要内容</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根据《中华人民共和国水法》《中华人民共和国河道管理条例》《中华人民共和国防洪法》等有关法律法规、技术标准为依据，依法划定河湖管理范围，明确管理界限，推进建立范围明确、权属清晰、责任落实的河湖管理责任。</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四、《</w:t>
      </w:r>
      <w:r>
        <w:rPr>
          <w:rFonts w:hint="eastAsia" w:ascii="黑体" w:hAnsi="黑体" w:eastAsia="黑体" w:cs="黑体"/>
          <w:sz w:val="32"/>
          <w:szCs w:val="32"/>
          <w:lang w:eastAsia="zh-CN"/>
        </w:rPr>
        <w:t>公告</w:t>
      </w:r>
      <w:r>
        <w:rPr>
          <w:rFonts w:hint="eastAsia" w:ascii="黑体" w:hAnsi="黑体" w:eastAsia="黑体" w:cs="黑体"/>
          <w:sz w:val="32"/>
          <w:szCs w:val="32"/>
        </w:rPr>
        <w:t>》的具体规定及说明</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（一）关于《</w:t>
      </w:r>
      <w:r>
        <w:rPr>
          <w:rFonts w:hint="eastAsia" w:ascii="楷体_GB2312" w:hAnsi="楷体_GB2312" w:eastAsia="楷体_GB2312" w:cs="楷体_GB2312"/>
          <w:sz w:val="32"/>
          <w:szCs w:val="32"/>
          <w:lang w:eastAsia="zh-CN"/>
        </w:rPr>
        <w:t>公告</w:t>
      </w:r>
      <w:r>
        <w:rPr>
          <w:rFonts w:hint="eastAsia" w:ascii="楷体_GB2312" w:hAnsi="楷体_GB2312" w:eastAsia="楷体_GB2312" w:cs="楷体_GB2312"/>
          <w:sz w:val="32"/>
          <w:szCs w:val="32"/>
        </w:rPr>
        <w:t>》的适用范围</w:t>
      </w:r>
    </w:p>
    <w:p>
      <w:pPr>
        <w:keepNext w:val="0"/>
        <w:keepLines w:val="0"/>
        <w:pageBreakBefore w:val="0"/>
        <w:widowControl/>
        <w:numPr>
          <w:ilvl w:val="0"/>
          <w:numId w:val="0"/>
        </w:numPr>
        <w:tabs>
          <w:tab w:val="left" w:pos="1540"/>
        </w:tabs>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惠州大亚湾经济技术开发区辖区范围内</w:t>
      </w:r>
      <w:r>
        <w:rPr>
          <w:rFonts w:hint="eastAsia" w:ascii="仿宋_GB2312" w:hAnsi="仿宋_GB2312" w:eastAsia="仿宋_GB2312" w:cs="仿宋_GB2312"/>
          <w:sz w:val="32"/>
          <w:szCs w:val="32"/>
          <w:lang w:eastAsia="zh-CN"/>
        </w:rPr>
        <w:t>石头河</w:t>
      </w:r>
      <w:r>
        <w:rPr>
          <w:rFonts w:hint="eastAsia" w:ascii="仿宋_GB2312" w:hAnsi="仿宋_GB2312" w:eastAsia="仿宋_GB2312" w:cs="仿宋_GB2312"/>
          <w:sz w:val="32"/>
          <w:szCs w:val="32"/>
        </w:rPr>
        <w:t>。</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（二）关于《</w:t>
      </w:r>
      <w:r>
        <w:rPr>
          <w:rFonts w:hint="eastAsia" w:ascii="楷体_GB2312" w:hAnsi="楷体_GB2312" w:eastAsia="楷体_GB2312" w:cs="楷体_GB2312"/>
          <w:sz w:val="32"/>
          <w:szCs w:val="32"/>
          <w:lang w:eastAsia="zh-CN"/>
        </w:rPr>
        <w:t>公告</w:t>
      </w:r>
      <w:r>
        <w:rPr>
          <w:rFonts w:hint="eastAsia" w:ascii="楷体_GB2312" w:hAnsi="楷体_GB2312" w:eastAsia="楷体_GB2312" w:cs="楷体_GB2312"/>
          <w:sz w:val="32"/>
          <w:szCs w:val="32"/>
        </w:rPr>
        <w:t>》的禁止规定</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河湖管理范围内的原土地性质、权属不变，但必须按照《中华人民共和国水法》《中华人民共和国防洪法》《中华人民共和国河道管理条例》《广东省河道管理条例》</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sz w:val="32"/>
          <w:szCs w:val="32"/>
        </w:rPr>
        <w:t>《惠州市市区河涌管理规定》等法律法规的规定限制使用。任何单位及个人不得在河湖管理范围内进行危及行洪和水利工程安全的建设活动。</w:t>
      </w:r>
    </w:p>
    <w:p>
      <w:pPr>
        <w:keepNext w:val="0"/>
        <w:keepLines w:val="0"/>
        <w:pageBreakBefore w:val="0"/>
        <w:widowControl/>
        <w:tabs>
          <w:tab w:val="left" w:pos="1540"/>
        </w:tabs>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（三）关于《</w:t>
      </w:r>
      <w:r>
        <w:rPr>
          <w:rFonts w:hint="eastAsia" w:ascii="楷体_GB2312" w:hAnsi="楷体_GB2312" w:eastAsia="楷体_GB2312" w:cs="楷体_GB2312"/>
          <w:sz w:val="32"/>
          <w:szCs w:val="32"/>
          <w:lang w:eastAsia="zh-CN"/>
        </w:rPr>
        <w:t>公告</w:t>
      </w:r>
      <w:r>
        <w:rPr>
          <w:rFonts w:hint="eastAsia" w:ascii="楷体_GB2312" w:hAnsi="楷体_GB2312" w:eastAsia="楷体_GB2312" w:cs="楷体_GB2312"/>
          <w:sz w:val="32"/>
          <w:szCs w:val="32"/>
        </w:rPr>
        <w:t>》的实施时间和有效期</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pPr>
      <w:r>
        <w:rPr>
          <w:rFonts w:hint="eastAsia" w:ascii="仿宋_GB2312" w:hAnsi="仿宋_GB2312" w:eastAsia="仿宋_GB2312" w:cs="仿宋_GB2312"/>
          <w:color w:val="auto"/>
          <w:sz w:val="32"/>
          <w:szCs w:val="32"/>
        </w:rPr>
        <w:t>本</w:t>
      </w:r>
      <w:r>
        <w:rPr>
          <w:rFonts w:hint="eastAsia" w:ascii="仿宋_GB2312" w:hAnsi="仿宋_GB2312" w:eastAsia="仿宋_GB2312" w:cs="仿宋_GB2312"/>
          <w:color w:val="auto"/>
          <w:sz w:val="32"/>
          <w:szCs w:val="32"/>
          <w:lang w:eastAsia="zh-CN"/>
        </w:rPr>
        <w:t>公告</w:t>
      </w:r>
      <w:r>
        <w:rPr>
          <w:rFonts w:hint="eastAsia" w:ascii="仿宋_GB2312" w:hAnsi="仿宋_GB2312" w:eastAsia="仿宋_GB2312" w:cs="仿宋_GB2312"/>
          <w:color w:val="auto"/>
          <w:sz w:val="32"/>
          <w:szCs w:val="32"/>
        </w:rPr>
        <w:t>自</w:t>
      </w:r>
      <w:r>
        <w:rPr>
          <w:rFonts w:hint="eastAsia" w:ascii="仿宋_GB2312" w:hAnsi="仿宋_GB2312" w:eastAsia="仿宋_GB2312" w:cs="仿宋_GB2312"/>
          <w:color w:val="auto"/>
          <w:sz w:val="32"/>
          <w:szCs w:val="32"/>
          <w:lang w:eastAsia="zh-CN"/>
        </w:rPr>
        <w:t>印发</w:t>
      </w:r>
      <w:bookmarkStart w:id="1" w:name="_GoBack"/>
      <w:bookmarkEnd w:id="1"/>
      <w:r>
        <w:rPr>
          <w:rFonts w:hint="eastAsia" w:ascii="仿宋_GB2312" w:hAnsi="仿宋_GB2312" w:eastAsia="仿宋_GB2312" w:cs="仿宋_GB2312"/>
          <w:color w:val="auto"/>
          <w:sz w:val="32"/>
          <w:szCs w:val="32"/>
          <w:lang w:eastAsia="zh-CN"/>
        </w:rPr>
        <w:t>之日</w:t>
      </w:r>
      <w:r>
        <w:rPr>
          <w:rFonts w:hint="eastAsia" w:ascii="仿宋_GB2312" w:hAnsi="仿宋_GB2312" w:eastAsia="仿宋_GB2312" w:cs="仿宋_GB2312"/>
          <w:color w:val="auto"/>
          <w:sz w:val="32"/>
          <w:szCs w:val="32"/>
        </w:rPr>
        <w:t>起施行。有效期</w:t>
      </w:r>
      <w:r>
        <w:rPr>
          <w:rFonts w:hint="eastAsia" w:ascii="仿宋_GB2312" w:hAnsi="仿宋_GB2312" w:eastAsia="仿宋_GB2312" w:cs="仿宋_GB2312"/>
          <w:color w:val="auto"/>
          <w:sz w:val="32"/>
          <w:szCs w:val="32"/>
          <w:lang w:val="en-US" w:eastAsia="zh-CN"/>
        </w:rPr>
        <w:t>3年</w:t>
      </w:r>
      <w:r>
        <w:rPr>
          <w:rFonts w:hint="eastAsia" w:ascii="仿宋_GB2312" w:hAnsi="仿宋_GB2312" w:eastAsia="仿宋_GB2312" w:cs="仿宋_GB2312"/>
          <w:color w:val="auto"/>
          <w:sz w:val="32"/>
          <w:szCs w:val="32"/>
        </w:rPr>
        <w:t>。</w:t>
      </w:r>
    </w:p>
    <w:sectPr>
      <w:footerReference r:id="rId5" w:type="default"/>
      <w:pgSz w:w="11906" w:h="16838"/>
      <w:pgMar w:top="2098" w:right="1474" w:bottom="1984" w:left="1587" w:header="851" w:footer="992" w:gutter="0"/>
      <w:pgNumType w:fmt="numberInDash"/>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271C0C"/>
    <w:rsid w:val="042C7894"/>
    <w:rsid w:val="08271C0C"/>
    <w:rsid w:val="1AA543AF"/>
    <w:rsid w:val="1B9B64A4"/>
    <w:rsid w:val="1E7831F9"/>
    <w:rsid w:val="2207638C"/>
    <w:rsid w:val="2DD4758B"/>
    <w:rsid w:val="32730D6D"/>
    <w:rsid w:val="34847ECB"/>
    <w:rsid w:val="417A39D7"/>
    <w:rsid w:val="42293FDE"/>
    <w:rsid w:val="491E6F0A"/>
    <w:rsid w:val="4B2F197D"/>
    <w:rsid w:val="4D5779B7"/>
    <w:rsid w:val="508B57EA"/>
    <w:rsid w:val="57716EAE"/>
    <w:rsid w:val="57B4398A"/>
    <w:rsid w:val="5ED538F2"/>
    <w:rsid w:val="60FE0F21"/>
    <w:rsid w:val="63C5001D"/>
    <w:rsid w:val="65E65D85"/>
    <w:rsid w:val="69BE3DC4"/>
    <w:rsid w:val="6F75500A"/>
    <w:rsid w:val="755917A8"/>
    <w:rsid w:val="797907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imes New Roman"/>
      <w:sz w:val="22"/>
      <w:szCs w:val="22"/>
      <w:lang w:val="en-US" w:eastAsia="zh-CN" w:bidi="ar-SA"/>
    </w:rPr>
  </w:style>
  <w:style w:type="character" w:default="1" w:styleId="5">
    <w:name w:val="Default Paragraph Font"/>
    <w:semiHidden/>
    <w:qFormat/>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2022-11-09T01:08:00Z</dcterms:created>
  <dc:creator>Administrator</dc:creator>
  <cp:lastModifiedBy>陈国杰</cp:lastModifiedBy>
  <cp:lastPrinted>2024-09-11T01:06:29Z</cp:lastPrinted>
  <dcterms:modified xsi:type="dcterms:W3CDTF">2025-11-28T07:07:32Z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A543C4D70E0745F8A3FEA76B11657E8D</vt:lpwstr>
  </property>
</Properties>
</file>