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54457B">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b w:val="0"/>
          <w:bCs w:val="0"/>
          <w:color w:val="000000" w:themeColor="text1"/>
          <w:sz w:val="44"/>
          <w:szCs w:val="44"/>
          <w:highlight w:val="none"/>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附件</w:t>
      </w:r>
    </w:p>
    <w:p w14:paraId="69ED233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color w:val="000000" w:themeColor="text1"/>
          <w:sz w:val="44"/>
          <w:szCs w:val="44"/>
          <w:highlight w:val="none"/>
          <w:lang w:val="en-US" w:eastAsia="zh-CN"/>
          <w14:textFill>
            <w14:solidFill>
              <w14:schemeClr w14:val="tx1"/>
            </w14:solidFill>
          </w14:textFill>
        </w:rPr>
      </w:pPr>
    </w:p>
    <w:p w14:paraId="2470240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themeColor="text1"/>
          <w:sz w:val="44"/>
          <w:szCs w:val="44"/>
          <w:highlight w:val="none"/>
          <w:lang w:val="en-US" w:eastAsia="zh-CN"/>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highlight w:val="none"/>
          <w:lang w:val="en-US" w:eastAsia="zh-CN"/>
          <w14:textFill>
            <w14:solidFill>
              <w14:schemeClr w14:val="tx1"/>
            </w14:solidFill>
          </w14:textFill>
        </w:rPr>
        <w:t>区</w:t>
      </w:r>
      <w:r>
        <w:rPr>
          <w:rFonts w:hint="eastAsia" w:ascii="方正小标宋简体" w:hAnsi="方正小标宋简体" w:eastAsia="方正小标宋简体" w:cs="方正小标宋简体"/>
          <w:color w:val="000000" w:themeColor="text1"/>
          <w:sz w:val="44"/>
          <w:szCs w:val="44"/>
          <w:highlight w:val="none"/>
          <w:lang w:val="en-US" w:eastAsia="zh-CN"/>
          <w14:textFill>
            <w14:solidFill>
              <w14:schemeClr w14:val="tx1"/>
            </w14:solidFill>
          </w14:textFill>
        </w:rPr>
        <w:t>应急管理局互联网接入服务项目</w:t>
      </w:r>
    </w:p>
    <w:p w14:paraId="5BE5D63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highlight w:val="none"/>
          <w:lang w:val="en-US" w:eastAsia="zh-CN"/>
          <w14:textFill>
            <w14:solidFill>
              <w14:schemeClr w14:val="tx1"/>
            </w14:solidFill>
          </w14:textFill>
        </w:rPr>
        <w:t>询价清单及内容</w:t>
      </w:r>
    </w:p>
    <w:p w14:paraId="3CB0951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p>
    <w:p w14:paraId="0B1D617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一、项目概况</w:t>
      </w:r>
    </w:p>
    <w:p w14:paraId="65284C3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（一）</w:t>
      </w:r>
      <w:r>
        <w:rPr>
          <w:rFonts w:hint="eastAsia" w:ascii="仿宋_GB2312" w:hAnsi="仿宋_GB2312" w:eastAsia="仿宋_GB2312" w:cs="仿宋_GB2312"/>
          <w:color w:val="000000" w:themeColor="text1"/>
          <w:sz w:val="32"/>
          <w:szCs w:val="32"/>
          <w14:textFill>
            <w14:solidFill>
              <w14:schemeClr w14:val="tx1"/>
            </w14:solidFill>
          </w14:textFill>
        </w:rPr>
        <w:t>项目名称：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区应急管理局互联网接入服务项目</w:t>
      </w:r>
    </w:p>
    <w:p w14:paraId="5A3D00A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（二）</w:t>
      </w:r>
      <w:r>
        <w:rPr>
          <w:rFonts w:hint="eastAsia" w:ascii="仿宋_GB2312" w:hAnsi="仿宋_GB2312" w:eastAsia="仿宋_GB2312" w:cs="仿宋_GB2312"/>
          <w:color w:val="000000" w:themeColor="text1"/>
          <w:sz w:val="32"/>
          <w:szCs w:val="32"/>
          <w14:textFill>
            <w14:solidFill>
              <w14:schemeClr w14:val="tx1"/>
            </w14:solidFill>
          </w14:textFill>
        </w:rPr>
        <w:t>项目地点：惠州大亚湾经济技术开发区管理委员会应急管理局。</w:t>
      </w:r>
    </w:p>
    <w:p w14:paraId="7D820D0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（三）</w:t>
      </w:r>
      <w:r>
        <w:rPr>
          <w:rFonts w:hint="eastAsia" w:ascii="仿宋_GB2312" w:hAnsi="仿宋_GB2312" w:eastAsia="仿宋_GB2312" w:cs="仿宋_GB2312"/>
          <w:color w:val="000000" w:themeColor="text1"/>
          <w:sz w:val="32"/>
          <w:szCs w:val="32"/>
          <w14:textFill>
            <w14:solidFill>
              <w14:schemeClr w14:val="tx1"/>
            </w14:solidFill>
          </w14:textFill>
        </w:rPr>
        <w:t>项目内容：对大亚湾区应急管理局的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业务专线和办公专线链路提供服务，包括专线线路</w:t>
      </w:r>
      <w:r>
        <w:rPr>
          <w:rFonts w:hint="eastAsia" w:ascii="仿宋_GB2312" w:hAnsi="仿宋_GB2312" w:eastAsia="仿宋_GB2312" w:cs="仿宋_GB2312"/>
          <w:color w:val="000000" w:themeColor="text1"/>
          <w:sz w:val="32"/>
          <w:szCs w:val="32"/>
          <w14:textFill>
            <w14:solidFill>
              <w14:schemeClr w14:val="tx1"/>
            </w14:solidFill>
          </w14:textFill>
        </w:rPr>
        <w:t>维护、故障处理、技术支持及定期巡检等服务。</w:t>
      </w:r>
    </w:p>
    <w:p w14:paraId="5808AEE5">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color w:val="000000" w:themeColor="text1"/>
          <w:sz w:val="32"/>
          <w:szCs w:val="32"/>
          <w14:textFill>
            <w14:solidFill>
              <w14:schemeClr w14:val="tx1"/>
            </w14:solidFill>
          </w14:textFill>
        </w:rPr>
        <w:t>服务期限：</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1年</w:t>
      </w:r>
      <w:r>
        <w:rPr>
          <w:rFonts w:hint="eastAsia" w:ascii="仿宋_GB2312" w:hAnsi="仿宋_GB2312" w:eastAsia="仿宋_GB2312" w:cs="仿宋_GB2312"/>
          <w:color w:val="000000" w:themeColor="text1"/>
          <w:sz w:val="32"/>
          <w:szCs w:val="32"/>
          <w14:textFill>
            <w14:solidFill>
              <w14:schemeClr w14:val="tx1"/>
            </w14:solidFill>
          </w14:textFill>
        </w:rPr>
        <w:t>。</w:t>
      </w:r>
    </w:p>
    <w:p w14:paraId="1F4088C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（五）</w:t>
      </w:r>
      <w:r>
        <w:rPr>
          <w:rFonts w:hint="eastAsia" w:ascii="仿宋_GB2312" w:hAnsi="仿宋_GB2312" w:eastAsia="仿宋_GB2312" w:cs="仿宋_GB2312"/>
          <w:color w:val="000000" w:themeColor="text1"/>
          <w:sz w:val="32"/>
          <w:szCs w:val="32"/>
          <w14:textFill>
            <w14:solidFill>
              <w14:schemeClr w14:val="tx1"/>
            </w14:solidFill>
          </w14:textFill>
        </w:rPr>
        <w:t>最高限价：人民币</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253716</w:t>
      </w:r>
      <w:bookmarkStart w:id="0" w:name="_GoBack"/>
      <w:bookmarkEnd w:id="0"/>
      <w:r>
        <w:rPr>
          <w:rFonts w:hint="eastAsia" w:ascii="仿宋_GB2312" w:hAnsi="仿宋_GB2312" w:eastAsia="仿宋_GB2312" w:cs="仿宋_GB2312"/>
          <w:color w:val="000000" w:themeColor="text1"/>
          <w:sz w:val="32"/>
          <w:szCs w:val="32"/>
          <w14:textFill>
            <w14:solidFill>
              <w14:schemeClr w14:val="tx1"/>
            </w14:solidFill>
          </w14:textFill>
        </w:rPr>
        <w:t>元。报价单位的报价不得超过最高限价，否则视为无效报价。</w:t>
      </w:r>
    </w:p>
    <w:p w14:paraId="26D3D2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二、供应商资格要求</w:t>
      </w:r>
    </w:p>
    <w:p w14:paraId="71F89388">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（一）</w:t>
      </w:r>
      <w:r>
        <w:rPr>
          <w:rFonts w:hint="eastAsia" w:ascii="仿宋_GB2312" w:hAnsi="仿宋_GB2312" w:eastAsia="仿宋_GB2312" w:cs="仿宋_GB2312"/>
          <w:color w:val="000000" w:themeColor="text1"/>
          <w:sz w:val="32"/>
          <w:szCs w:val="32"/>
          <w14:textFill>
            <w14:solidFill>
              <w14:schemeClr w14:val="tx1"/>
            </w14:solidFill>
          </w14:textFill>
        </w:rPr>
        <w:t>在中华人民共和国境内注册，具有独立法人资格，具备相应经营范围的合法企业。</w:t>
      </w:r>
    </w:p>
    <w:p w14:paraId="39AB9266">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（二）</w:t>
      </w:r>
      <w:r>
        <w:rPr>
          <w:rFonts w:hint="eastAsia" w:ascii="仿宋_GB2312" w:hAnsi="仿宋_GB2312" w:eastAsia="仿宋_GB2312" w:cs="仿宋_GB2312"/>
          <w:color w:val="000000" w:themeColor="text1"/>
          <w:sz w:val="32"/>
          <w:szCs w:val="32"/>
          <w14:textFill>
            <w14:solidFill>
              <w14:schemeClr w14:val="tx1"/>
            </w14:solidFill>
          </w14:textFill>
        </w:rPr>
        <w:t>具有良好的商业信誉和健全的财务会计制度。</w:t>
      </w:r>
    </w:p>
    <w:p w14:paraId="710E699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（三）</w:t>
      </w:r>
      <w:r>
        <w:rPr>
          <w:rFonts w:hint="eastAsia" w:ascii="仿宋_GB2312" w:hAnsi="仿宋_GB2312" w:eastAsia="仿宋_GB2312" w:cs="仿宋_GB2312"/>
          <w:color w:val="000000" w:themeColor="text1"/>
          <w:sz w:val="32"/>
          <w:szCs w:val="32"/>
          <w14:textFill>
            <w14:solidFill>
              <w14:schemeClr w14:val="tx1"/>
            </w14:solidFill>
          </w14:textFill>
        </w:rPr>
        <w:t>具备履行合同所必需的专业技术能力，包括但不限于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专线业务割接</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专线故障处理、</w:t>
      </w:r>
      <w:r>
        <w:rPr>
          <w:rFonts w:hint="eastAsia" w:ascii="仿宋_GB2312" w:hAnsi="仿宋_GB2312" w:eastAsia="仿宋_GB2312" w:cs="仿宋_GB2312"/>
          <w:color w:val="000000" w:themeColor="text1"/>
          <w:sz w:val="32"/>
          <w:szCs w:val="32"/>
          <w14:textFill>
            <w14:solidFill>
              <w14:schemeClr w14:val="tx1"/>
            </w14:solidFill>
          </w14:textFill>
        </w:rPr>
        <w:t>网络设备维护、应急技术支持等。</w:t>
      </w:r>
    </w:p>
    <w:p w14:paraId="42BEC2E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color w:val="000000" w:themeColor="text1"/>
          <w:sz w:val="32"/>
          <w:szCs w:val="32"/>
          <w14:textFill>
            <w14:solidFill>
              <w14:schemeClr w14:val="tx1"/>
            </w14:solidFill>
          </w14:textFill>
        </w:rPr>
        <w:t>有依法缴纳税收和社会保障资金的良好记录。</w:t>
      </w:r>
    </w:p>
    <w:p w14:paraId="2693A56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（五）</w:t>
      </w:r>
      <w:r>
        <w:rPr>
          <w:rFonts w:hint="eastAsia" w:ascii="仿宋_GB2312" w:hAnsi="仿宋_GB2312" w:eastAsia="仿宋_GB2312" w:cs="仿宋_GB2312"/>
          <w:color w:val="000000" w:themeColor="text1"/>
          <w:sz w:val="32"/>
          <w:szCs w:val="32"/>
          <w14:textFill>
            <w14:solidFill>
              <w14:schemeClr w14:val="tx1"/>
            </w14:solidFill>
          </w14:textFill>
        </w:rPr>
        <w:t>参加政府采购活动前三年内，在经营活动中没有重大违法记录。</w:t>
      </w:r>
    </w:p>
    <w:p w14:paraId="53191566">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（六）</w:t>
      </w:r>
      <w:r>
        <w:rPr>
          <w:rFonts w:hint="eastAsia" w:ascii="仿宋_GB2312" w:hAnsi="仿宋_GB2312" w:eastAsia="仿宋_GB2312" w:cs="仿宋_GB2312"/>
          <w:color w:val="000000" w:themeColor="text1"/>
          <w:sz w:val="32"/>
          <w:szCs w:val="32"/>
          <w14:textFill>
            <w14:solidFill>
              <w14:schemeClr w14:val="tx1"/>
            </w14:solidFill>
          </w14:textFill>
        </w:rPr>
        <w:t>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w:t>
      </w:r>
    </w:p>
    <w:p w14:paraId="19E0EE15">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（七）</w:t>
      </w:r>
      <w:r>
        <w:rPr>
          <w:rFonts w:hint="eastAsia" w:ascii="仿宋_GB2312" w:hAnsi="仿宋_GB2312" w:eastAsia="仿宋_GB2312" w:cs="仿宋_GB2312"/>
          <w:color w:val="000000" w:themeColor="text1"/>
          <w:sz w:val="32"/>
          <w:szCs w:val="32"/>
          <w14:textFill>
            <w14:solidFill>
              <w14:schemeClr w14:val="tx1"/>
            </w14:solidFill>
          </w14:textFill>
        </w:rPr>
        <w:t>本项目不接受联合体投标。</w:t>
      </w:r>
    </w:p>
    <w:p w14:paraId="01DBC2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三、维护服务要求</w:t>
      </w:r>
    </w:p>
    <w:p w14:paraId="54EF863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（一）</w:t>
      </w:r>
      <w:r>
        <w:rPr>
          <w:rFonts w:hint="eastAsia" w:ascii="仿宋_GB2312" w:hAnsi="仿宋_GB2312" w:eastAsia="仿宋_GB2312" w:cs="仿宋_GB2312"/>
          <w:color w:val="000000" w:themeColor="text1"/>
          <w:sz w:val="32"/>
          <w:szCs w:val="32"/>
          <w14:textFill>
            <w14:solidFill>
              <w14:schemeClr w14:val="tx1"/>
            </w14:solidFill>
          </w14:textFill>
        </w:rPr>
        <w:t>维护内容</w:t>
      </w:r>
    </w:p>
    <w:p w14:paraId="6B4DA946">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专线链路所涉及</w:t>
      </w:r>
      <w:r>
        <w:rPr>
          <w:rFonts w:hint="eastAsia" w:ascii="仿宋_GB2312" w:hAnsi="仿宋_GB2312" w:eastAsia="仿宋_GB2312" w:cs="仿宋_GB2312"/>
          <w:color w:val="000000" w:themeColor="text1"/>
          <w:sz w:val="32"/>
          <w:szCs w:val="32"/>
          <w14:textFill>
            <w14:solidFill>
              <w14:schemeClr w14:val="tx1"/>
            </w14:solidFill>
          </w14:textFill>
        </w:rPr>
        <w:t>的服务器、网络设备、存储设备等硬件设施进行日常巡检、维护保养，确保</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专线稳定</w:t>
      </w:r>
      <w:r>
        <w:rPr>
          <w:rFonts w:hint="eastAsia" w:ascii="仿宋_GB2312" w:hAnsi="仿宋_GB2312" w:eastAsia="仿宋_GB2312" w:cs="仿宋_GB2312"/>
          <w:color w:val="000000" w:themeColor="text1"/>
          <w:sz w:val="32"/>
          <w:szCs w:val="32"/>
          <w14:textFill>
            <w14:solidFill>
              <w14:schemeClr w14:val="tx1"/>
            </w14:solidFill>
          </w14:textFill>
        </w:rPr>
        <w:t>运行。</w:t>
      </w:r>
    </w:p>
    <w:p w14:paraId="4E4CA12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对信息系统软件进行升级、优化、漏洞修复，保障系统稳定、安全运行。</w:t>
      </w:r>
    </w:p>
    <w:p w14:paraId="1979000D">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对配套设施（如通信设备、监控设备等）进行定期检查、维修，及时更换损坏部件。</w:t>
      </w:r>
    </w:p>
    <w:p w14:paraId="1B6F55D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提供</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重保服务和</w:t>
      </w:r>
      <w:r>
        <w:rPr>
          <w:rFonts w:hint="eastAsia" w:ascii="仿宋_GB2312" w:hAnsi="仿宋_GB2312" w:eastAsia="仿宋_GB2312" w:cs="仿宋_GB2312"/>
          <w:color w:val="000000" w:themeColor="text1"/>
          <w:sz w:val="32"/>
          <w:szCs w:val="32"/>
          <w14:textFill>
            <w14:solidFill>
              <w14:schemeClr w14:val="tx1"/>
            </w14:solidFill>
          </w14:textFill>
        </w:rPr>
        <w:t>应急技术支持，确保在突发情况下能够快速响应并解决问题。</w:t>
      </w:r>
    </w:p>
    <w:p w14:paraId="08CD0A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（二）</w:t>
      </w:r>
      <w:r>
        <w:rPr>
          <w:rFonts w:hint="eastAsia" w:ascii="仿宋_GB2312" w:hAnsi="仿宋_GB2312" w:eastAsia="仿宋_GB2312" w:cs="仿宋_GB2312"/>
          <w:color w:val="000000" w:themeColor="text1"/>
          <w:sz w:val="32"/>
          <w:szCs w:val="32"/>
          <w14:textFill>
            <w14:solidFill>
              <w14:schemeClr w14:val="tx1"/>
            </w14:solidFill>
          </w14:textFill>
        </w:rPr>
        <w:t>维护方式</w:t>
      </w:r>
    </w:p>
    <w:p w14:paraId="182FE09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提供远程维护服务及现场维护服务。</w:t>
      </w:r>
    </w:p>
    <w:p w14:paraId="1682C795">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设立专门的技术服务团队，配备专业技术人员，确保维护服务的及时性和专业性。</w:t>
      </w:r>
    </w:p>
    <w:p w14:paraId="02F0C2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（三）</w:t>
      </w:r>
      <w:r>
        <w:rPr>
          <w:rFonts w:hint="eastAsia" w:ascii="仿宋_GB2312" w:hAnsi="仿宋_GB2312" w:eastAsia="仿宋_GB2312" w:cs="仿宋_GB2312"/>
          <w:color w:val="000000" w:themeColor="text1"/>
          <w:sz w:val="32"/>
          <w:szCs w:val="32"/>
          <w14:textFill>
            <w14:solidFill>
              <w14:schemeClr w14:val="tx1"/>
            </w14:solidFill>
          </w14:textFill>
        </w:rPr>
        <w:t>响应时间</w:t>
      </w:r>
    </w:p>
    <w:p w14:paraId="4533F5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1.对于一般故障，应在接到通知后10分钟内响应，并在2小时内解决。</w:t>
      </w:r>
    </w:p>
    <w:p w14:paraId="670C66D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2.对于重大故障，应在接到通知后30分钟内到达现场，并在6小时内完成修复。</w:t>
      </w:r>
    </w:p>
    <w:p w14:paraId="08BA42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color w:val="000000" w:themeColor="text1"/>
          <w:sz w:val="32"/>
          <w:szCs w:val="32"/>
          <w14:textFill>
            <w14:solidFill>
              <w14:schemeClr w14:val="tx1"/>
            </w14:solidFill>
          </w14:textFill>
        </w:rPr>
        <w:t>其他要求</w:t>
      </w:r>
    </w:p>
    <w:p w14:paraId="03F9C0D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供应商应提供详细的维护计划和服务方案，明确维护流程、责任分工及应急处理措施。</w:t>
      </w:r>
    </w:p>
    <w:p w14:paraId="3480664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在服务期内，供应商需定期向我单位提交维护报告，包括</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专线</w:t>
      </w:r>
      <w:r>
        <w:rPr>
          <w:rFonts w:hint="eastAsia" w:ascii="仿宋_GB2312" w:hAnsi="仿宋_GB2312" w:eastAsia="仿宋_GB2312" w:cs="仿宋_GB2312"/>
          <w:color w:val="000000" w:themeColor="text1"/>
          <w:sz w:val="32"/>
          <w:szCs w:val="32"/>
          <w14:textFill>
            <w14:solidFill>
              <w14:schemeClr w14:val="tx1"/>
            </w14:solidFill>
          </w14:textFill>
        </w:rPr>
        <w:t>运行情况、维护记录、故障处理情况等内容。</w:t>
      </w:r>
    </w:p>
    <w:p w14:paraId="78A17D7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3.涉及专线割接等特殊情况，供应商需提前三个工作日向我单位报备，做好割接全过程管控，确保割接完成后我单位业务稳定运行。</w:t>
      </w:r>
    </w:p>
    <w:p w14:paraId="0ACBCE7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四、报价文件内容</w:t>
      </w:r>
    </w:p>
    <w:p w14:paraId="45199DC3">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报价文件需提交以下资料：</w:t>
      </w:r>
    </w:p>
    <w:p w14:paraId="3F08C40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1.需提交营业执照（复印件加盖公章）。</w:t>
      </w:r>
    </w:p>
    <w:p w14:paraId="0AAA76D3">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2.需提交法定代表人身份证（复印件加盖公章）；若经办人是法定代表人委托代理人，需提供法定代表人针对本项目的授权委托书原件及委托代理人身份证（复印件加盖公章）。</w:t>
      </w:r>
    </w:p>
    <w:p w14:paraId="53D82663">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需提交项目报价文件，包括详细的费用明细、服务内容及方案等。</w:t>
      </w:r>
    </w:p>
    <w:p w14:paraId="01D1BEF2">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供应商认为需要提交的其他材料（如有）。</w:t>
      </w:r>
    </w:p>
    <w:p w14:paraId="1323D0C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报价文件须加盖公章，并用一次性密封条进行密封。</w:t>
      </w:r>
    </w:p>
    <w:p w14:paraId="4785BD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五</w:t>
      </w:r>
      <w:r>
        <w:rPr>
          <w:rFonts w:hint="eastAsia" w:ascii="黑体" w:hAnsi="黑体" w:eastAsia="黑体" w:cs="黑体"/>
          <w:b w:val="0"/>
          <w:bCs w:val="0"/>
          <w:color w:val="000000" w:themeColor="text1"/>
          <w:sz w:val="32"/>
          <w:szCs w:val="32"/>
          <w14:textFill>
            <w14:solidFill>
              <w14:schemeClr w14:val="tx1"/>
            </w14:solidFill>
          </w14:textFill>
        </w:rPr>
        <w:t>、询价方式</w:t>
      </w:r>
    </w:p>
    <w:p w14:paraId="32FD43E8">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本次询价采用综合评分法，根据供应商的报价、服务方案、技术能力、信誉等因素进行综合评定，确定最终合作单位。</w:t>
      </w:r>
    </w:p>
    <w:p w14:paraId="7B696AC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p>
    <w:p w14:paraId="70B2C7D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p>
    <w:p w14:paraId="2FDF035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p>
    <w:p w14:paraId="32EFF15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p>
    <w:p w14:paraId="3B2DD6D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六、询价清单</w:t>
      </w:r>
    </w:p>
    <w:tbl>
      <w:tblPr>
        <w:tblStyle w:val="7"/>
        <w:tblW w:w="1000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7"/>
        <w:gridCol w:w="1447"/>
        <w:gridCol w:w="932"/>
        <w:gridCol w:w="1553"/>
        <w:gridCol w:w="879"/>
        <w:gridCol w:w="3579"/>
        <w:gridCol w:w="1094"/>
      </w:tblGrid>
      <w:tr w14:paraId="623A1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4484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序号</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E696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项目</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9E8A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数量（条）</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BAA4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包含内容</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8BFB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月租（元）</w:t>
            </w: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1750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电路用途</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7A43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使用地址</w:t>
            </w:r>
          </w:p>
        </w:tc>
      </w:tr>
      <w:tr w14:paraId="1C1AD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7" w:hRule="atLeast"/>
          <w:jc w:val="center"/>
        </w:trPr>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1AB6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4DFB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气象专线</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D6AAE">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1</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C403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100M</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2116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355B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市内链路，该链路从管委会6楼机房至应急4楼机房，用于气象局平台传输、接收市气象部门数据。</w:t>
            </w:r>
          </w:p>
        </w:tc>
        <w:tc>
          <w:tcPr>
            <w:tcW w:w="10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562E5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应急4楼会商室</w:t>
            </w:r>
          </w:p>
        </w:tc>
      </w:tr>
      <w:tr w14:paraId="2CEB7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jc w:val="center"/>
        </w:trPr>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D500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3949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省应急会商专线</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7417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90D9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100M</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E611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3EC9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市内链路，该链路从管委会6楼机房至应急4楼机房，用于对接省、市应急部门会议系统</w:t>
            </w:r>
          </w:p>
        </w:tc>
        <w:tc>
          <w:tcPr>
            <w:tcW w:w="1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D68E7D">
            <w:pPr>
              <w:jc w:val="center"/>
              <w:rPr>
                <w:rFonts w:hint="eastAsia" w:ascii="仿宋" w:hAnsi="仿宋" w:eastAsia="仿宋" w:cs="仿宋"/>
                <w:i w:val="0"/>
                <w:iCs w:val="0"/>
                <w:color w:val="000000"/>
                <w:sz w:val="24"/>
                <w:szCs w:val="24"/>
                <w:u w:val="none"/>
              </w:rPr>
            </w:pPr>
          </w:p>
        </w:tc>
      </w:tr>
      <w:tr w14:paraId="0662A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jc w:val="center"/>
        </w:trPr>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B0A8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40D2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0号高清会议系统专线</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B288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66A9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100M</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EF44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1005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长途电路，该链路从管委会6楼机房至应急4楼机房，用于对接省政府、市政府会议系统。</w:t>
            </w:r>
          </w:p>
        </w:tc>
        <w:tc>
          <w:tcPr>
            <w:tcW w:w="1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B3B20B">
            <w:pPr>
              <w:jc w:val="center"/>
              <w:rPr>
                <w:rFonts w:hint="eastAsia" w:ascii="仿宋" w:hAnsi="仿宋" w:eastAsia="仿宋" w:cs="仿宋"/>
                <w:i w:val="0"/>
                <w:iCs w:val="0"/>
                <w:color w:val="000000"/>
                <w:sz w:val="24"/>
                <w:szCs w:val="24"/>
                <w:u w:val="none"/>
              </w:rPr>
            </w:pPr>
          </w:p>
        </w:tc>
      </w:tr>
      <w:tr w14:paraId="498AF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jc w:val="center"/>
        </w:trPr>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6118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EF56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省应急会商专线</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8A9E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BB37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100M</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A844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4A42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市内链路，该链路从主楼6楼机房至附属楼3楼机房，用于对接省、市应急部门会议系统。</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BA7C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附属楼三楼</w:t>
            </w:r>
          </w:p>
        </w:tc>
      </w:tr>
      <w:tr w14:paraId="1125F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jc w:val="center"/>
        </w:trPr>
        <w:tc>
          <w:tcPr>
            <w:tcW w:w="5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2FA67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4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8ED25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5G切片电路（混合式网络架构）</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E974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1E61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10M</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2705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EF4F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从附属楼指挥大厅，通过运营商基站和切片卡的定向访问形式，将指挥车采集的数据实时传输至附属楼指挥中心内网。主要用于实现应急指挥车与区附属楼应急指挥中心之间的数据传输和通信。</w:t>
            </w:r>
          </w:p>
        </w:tc>
        <w:tc>
          <w:tcPr>
            <w:tcW w:w="10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E5232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应急指挥车</w:t>
            </w:r>
          </w:p>
        </w:tc>
      </w:tr>
      <w:tr w14:paraId="5731C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083E37">
            <w:pPr>
              <w:jc w:val="center"/>
              <w:rPr>
                <w:rFonts w:hint="eastAsia" w:ascii="仿宋" w:hAnsi="仿宋" w:eastAsia="仿宋" w:cs="仿宋"/>
                <w:i w:val="0"/>
                <w:iCs w:val="0"/>
                <w:color w:val="000000"/>
                <w:sz w:val="24"/>
                <w:szCs w:val="24"/>
                <w:u w:val="none"/>
              </w:rPr>
            </w:pPr>
          </w:p>
        </w:tc>
        <w:tc>
          <w:tcPr>
            <w:tcW w:w="14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511DD4">
            <w:pPr>
              <w:jc w:val="center"/>
              <w:rPr>
                <w:rFonts w:hint="eastAsia" w:ascii="仿宋" w:hAnsi="仿宋" w:eastAsia="仿宋" w:cs="仿宋"/>
                <w:i w:val="0"/>
                <w:iCs w:val="0"/>
                <w:color w:val="000000"/>
                <w:sz w:val="24"/>
                <w:szCs w:val="24"/>
                <w:u w:val="none"/>
              </w:rPr>
            </w:pP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3544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1C03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5G切片卡</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FF68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C6A8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应急指挥车通讯卡</w:t>
            </w:r>
          </w:p>
        </w:tc>
        <w:tc>
          <w:tcPr>
            <w:tcW w:w="1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78FA13">
            <w:pPr>
              <w:jc w:val="center"/>
              <w:rPr>
                <w:rFonts w:hint="eastAsia" w:ascii="仿宋" w:hAnsi="仿宋" w:eastAsia="仿宋" w:cs="仿宋"/>
                <w:i w:val="0"/>
                <w:iCs w:val="0"/>
                <w:color w:val="000000"/>
                <w:sz w:val="24"/>
                <w:szCs w:val="24"/>
                <w:u w:val="none"/>
              </w:rPr>
            </w:pPr>
          </w:p>
        </w:tc>
      </w:tr>
      <w:tr w14:paraId="2EBA8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4"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7F37E1">
            <w:pPr>
              <w:jc w:val="center"/>
              <w:rPr>
                <w:rFonts w:hint="eastAsia" w:ascii="仿宋" w:hAnsi="仿宋" w:eastAsia="仿宋" w:cs="仿宋"/>
                <w:i w:val="0"/>
                <w:iCs w:val="0"/>
                <w:color w:val="000000"/>
                <w:sz w:val="24"/>
                <w:szCs w:val="24"/>
                <w:u w:val="none"/>
              </w:rPr>
            </w:pPr>
          </w:p>
        </w:tc>
        <w:tc>
          <w:tcPr>
            <w:tcW w:w="14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F73419">
            <w:pPr>
              <w:jc w:val="center"/>
              <w:rPr>
                <w:rFonts w:hint="eastAsia" w:ascii="仿宋" w:hAnsi="仿宋" w:eastAsia="仿宋" w:cs="仿宋"/>
                <w:i w:val="0"/>
                <w:iCs w:val="0"/>
                <w:color w:val="000000"/>
                <w:sz w:val="24"/>
                <w:szCs w:val="24"/>
                <w:u w:val="none"/>
              </w:rPr>
            </w:pP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2CC58">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1</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6591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5G切片卡</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7CC1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3AA4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应急指挥车通讯卡</w:t>
            </w:r>
          </w:p>
        </w:tc>
        <w:tc>
          <w:tcPr>
            <w:tcW w:w="1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6667DD">
            <w:pPr>
              <w:jc w:val="center"/>
              <w:rPr>
                <w:rFonts w:hint="eastAsia" w:ascii="仿宋" w:hAnsi="仿宋" w:eastAsia="仿宋" w:cs="仿宋"/>
                <w:i w:val="0"/>
                <w:iCs w:val="0"/>
                <w:color w:val="000000"/>
                <w:sz w:val="24"/>
                <w:szCs w:val="24"/>
                <w:u w:val="none"/>
              </w:rPr>
            </w:pPr>
          </w:p>
        </w:tc>
      </w:tr>
      <w:tr w14:paraId="2249D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4EE151">
            <w:pPr>
              <w:jc w:val="center"/>
              <w:rPr>
                <w:rFonts w:hint="eastAsia" w:ascii="仿宋" w:hAnsi="仿宋" w:eastAsia="仿宋" w:cs="仿宋"/>
                <w:i w:val="0"/>
                <w:iCs w:val="0"/>
                <w:color w:val="000000"/>
                <w:sz w:val="24"/>
                <w:szCs w:val="24"/>
                <w:u w:val="none"/>
              </w:rPr>
            </w:pPr>
          </w:p>
        </w:tc>
        <w:tc>
          <w:tcPr>
            <w:tcW w:w="14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EBD4E1">
            <w:pPr>
              <w:jc w:val="center"/>
              <w:rPr>
                <w:rFonts w:hint="eastAsia" w:ascii="仿宋" w:hAnsi="仿宋" w:eastAsia="仿宋" w:cs="仿宋"/>
                <w:i w:val="0"/>
                <w:iCs w:val="0"/>
                <w:color w:val="000000"/>
                <w:sz w:val="24"/>
                <w:szCs w:val="24"/>
                <w:u w:val="none"/>
              </w:rPr>
            </w:pP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1682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AA7C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5G速率保障</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71CF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96B7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保障服务</w:t>
            </w:r>
          </w:p>
        </w:tc>
        <w:tc>
          <w:tcPr>
            <w:tcW w:w="1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F95A76">
            <w:pPr>
              <w:jc w:val="center"/>
              <w:rPr>
                <w:rFonts w:hint="eastAsia" w:ascii="仿宋" w:hAnsi="仿宋" w:eastAsia="仿宋" w:cs="仿宋"/>
                <w:i w:val="0"/>
                <w:iCs w:val="0"/>
                <w:color w:val="000000"/>
                <w:sz w:val="24"/>
                <w:szCs w:val="24"/>
                <w:u w:val="none"/>
              </w:rPr>
            </w:pPr>
          </w:p>
        </w:tc>
      </w:tr>
      <w:tr w14:paraId="770CA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9" w:hRule="atLeast"/>
          <w:jc w:val="center"/>
        </w:trPr>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69FA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48A0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救援基地视频环路（双线路冗余备份架构）</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878A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F5A5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200M</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8A7F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7D62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通过管委会附属楼指挥中心，主线路或备用线路传输到石化区应急救援基地五楼应急平台（石化区指挥中心）。主要用于视频传输。</w:t>
            </w:r>
          </w:p>
        </w:tc>
        <w:tc>
          <w:tcPr>
            <w:tcW w:w="10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75798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石化救援基地</w:t>
            </w:r>
          </w:p>
        </w:tc>
      </w:tr>
      <w:tr w14:paraId="1ACAB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jc w:val="center"/>
        </w:trPr>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D542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06F0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政务网</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CAA0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5FBB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200M</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C875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8B8E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石化区应急救援基地5楼使用</w:t>
            </w:r>
          </w:p>
        </w:tc>
        <w:tc>
          <w:tcPr>
            <w:tcW w:w="1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18961D">
            <w:pPr>
              <w:jc w:val="center"/>
              <w:rPr>
                <w:rFonts w:hint="eastAsia" w:ascii="仿宋" w:hAnsi="仿宋" w:eastAsia="仿宋" w:cs="仿宋"/>
                <w:i w:val="0"/>
                <w:iCs w:val="0"/>
                <w:color w:val="000000"/>
                <w:sz w:val="24"/>
                <w:szCs w:val="24"/>
                <w:u w:val="none"/>
              </w:rPr>
            </w:pPr>
          </w:p>
        </w:tc>
      </w:tr>
      <w:tr w14:paraId="6ECD7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9" w:hRule="atLeast"/>
          <w:jc w:val="center"/>
        </w:trPr>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1C81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BA65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应急至救援基地视频会议系统</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2629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C4AD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200M</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1F81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2E61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管委会附属楼指挥中心连接视频会议至救援基地。</w:t>
            </w:r>
          </w:p>
        </w:tc>
        <w:tc>
          <w:tcPr>
            <w:tcW w:w="1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013B14">
            <w:pPr>
              <w:jc w:val="center"/>
              <w:rPr>
                <w:rFonts w:hint="eastAsia" w:ascii="仿宋" w:hAnsi="仿宋" w:eastAsia="仿宋" w:cs="仿宋"/>
                <w:i w:val="0"/>
                <w:iCs w:val="0"/>
                <w:color w:val="000000"/>
                <w:sz w:val="24"/>
                <w:szCs w:val="24"/>
                <w:u w:val="none"/>
              </w:rPr>
            </w:pPr>
          </w:p>
        </w:tc>
      </w:tr>
      <w:tr w14:paraId="53243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jc w:val="center"/>
        </w:trPr>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F115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CE68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5568110数字中继</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3549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BCCC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2M</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8219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7106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中继</w:t>
            </w:r>
          </w:p>
        </w:tc>
        <w:tc>
          <w:tcPr>
            <w:tcW w:w="1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B38828">
            <w:pPr>
              <w:jc w:val="center"/>
              <w:rPr>
                <w:rFonts w:hint="eastAsia" w:ascii="仿宋" w:hAnsi="仿宋" w:eastAsia="仿宋" w:cs="仿宋"/>
                <w:i w:val="0"/>
                <w:iCs w:val="0"/>
                <w:color w:val="000000"/>
                <w:sz w:val="24"/>
                <w:szCs w:val="24"/>
                <w:u w:val="none"/>
              </w:rPr>
            </w:pPr>
          </w:p>
        </w:tc>
      </w:tr>
      <w:tr w14:paraId="01CED5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7" w:hRule="atLeast"/>
          <w:jc w:val="center"/>
        </w:trPr>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24B7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E058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南山国际4楼政务网</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6E0F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E2E5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DEED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78F1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区内链路</w:t>
            </w:r>
          </w:p>
        </w:tc>
        <w:tc>
          <w:tcPr>
            <w:tcW w:w="10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F76F1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南山国际</w:t>
            </w:r>
          </w:p>
        </w:tc>
      </w:tr>
      <w:tr w14:paraId="6F9A6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 w:hRule="atLeast"/>
          <w:jc w:val="center"/>
        </w:trPr>
        <w:tc>
          <w:tcPr>
            <w:tcW w:w="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5777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B02D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南山国际5楼政务网</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3894B">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1</w:t>
            </w:r>
          </w:p>
        </w:tc>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3046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BB95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c>
          <w:tcPr>
            <w:tcW w:w="3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C68D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区内链路</w:t>
            </w:r>
          </w:p>
        </w:tc>
        <w:tc>
          <w:tcPr>
            <w:tcW w:w="1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190E40">
            <w:pPr>
              <w:jc w:val="center"/>
              <w:rPr>
                <w:rFonts w:hint="eastAsia" w:ascii="仿宋" w:hAnsi="仿宋" w:eastAsia="仿宋" w:cs="仿宋"/>
                <w:i w:val="0"/>
                <w:iCs w:val="0"/>
                <w:color w:val="000000"/>
                <w:sz w:val="24"/>
                <w:szCs w:val="24"/>
                <w:u w:val="none"/>
              </w:rPr>
            </w:pPr>
          </w:p>
        </w:tc>
      </w:tr>
    </w:tbl>
    <w:p w14:paraId="07266D46"/>
    <w:sectPr>
      <w:headerReference r:id="rId3" w:type="default"/>
      <w:footerReference r:id="rId5" w:type="default"/>
      <w:headerReference r:id="rId4" w:type="even"/>
      <w:footerReference r:id="rId6" w:type="even"/>
      <w:pgSz w:w="11906" w:h="16838"/>
      <w:pgMar w:top="1418" w:right="1418" w:bottom="1418" w:left="1418"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F"/>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E0ED51">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E9B6D5">
                          <w:pPr>
                            <w:pStyle w:val="4"/>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3E9B6D5">
                    <w:pPr>
                      <w:pStyle w:val="4"/>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BBE46C">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7688A9">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7E1F3E">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FD73F64"/>
    <w:rsid w:val="1253621D"/>
    <w:rsid w:val="1E27270A"/>
    <w:rsid w:val="27353C30"/>
    <w:rsid w:val="34F30A97"/>
    <w:rsid w:val="35BB35B3"/>
    <w:rsid w:val="38512CEC"/>
    <w:rsid w:val="3DB114C5"/>
    <w:rsid w:val="3EFE098B"/>
    <w:rsid w:val="3FBC4E82"/>
    <w:rsid w:val="5AA8397F"/>
    <w:rsid w:val="70186EE5"/>
    <w:rsid w:val="738A62AE"/>
    <w:rsid w:val="74774F82"/>
    <w:rsid w:val="7C5954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rPr>
  </w:style>
  <w:style w:type="paragraph" w:styleId="3">
    <w:name w:val="Body Text Indent"/>
    <w:basedOn w:val="1"/>
    <w:next w:val="2"/>
    <w:qFormat/>
    <w:uiPriority w:val="0"/>
    <w:pPr>
      <w:widowControl/>
      <w:spacing w:before="100" w:beforeAutospacing="1" w:after="100" w:afterAutospacing="1"/>
      <w:jc w:val="left"/>
    </w:pPr>
    <w:rPr>
      <w:rFonts w:ascii="宋体" w:hAnsi="宋体" w:eastAsia="宋体" w:cs="宋体"/>
      <w:kern w:val="0"/>
      <w:sz w:val="24"/>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3"/>
    <w:next w:val="1"/>
    <w:qFormat/>
    <w:uiPriority w:val="0"/>
    <w:pPr>
      <w:widowControl w:val="0"/>
      <w:spacing w:before="0" w:beforeAutospacing="0" w:after="120" w:afterAutospacing="0"/>
      <w:ind w:left="420" w:leftChars="200" w:firstLine="420" w:firstLineChars="200"/>
      <w:jc w:val="both"/>
    </w:pPr>
    <w:rPr>
      <w:rFonts w:ascii="仿宋_GB2312" w:hAnsi="Calibri" w:eastAsia="仿宋_GB2312" w:cs="Times New Roman"/>
      <w:kern w:val="2"/>
      <w:sz w:val="21"/>
    </w:rPr>
  </w:style>
  <w:style w:type="paragraph" w:customStyle="1" w:styleId="9">
    <w:name w:val="Plain Text1"/>
    <w:basedOn w:val="1"/>
    <w:qFormat/>
    <w:uiPriority w:val="0"/>
    <w:rPr>
      <w:rFonts w:ascii="宋体" w:hAnsi="Courier New" w:eastAsia="宋体" w:cs="Times New Roman"/>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217</TotalTime>
  <ScaleCrop>false</ScaleCrop>
  <LinksUpToDate>false</LinksUpToDate>
  <CharactersWithSpaces>0</CharactersWithSpaces>
  <Application>WPS Office_12.8.2.17863_F1E327BC-269C-435d-A152-05C5408002CA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2025-11-06T11:03:00Z</dcterms:created>
  <dc:creator>用户</dc:creator>
  <cp:lastModifiedBy>用户</cp:lastModifiedBy>
  <cp:lastPrinted>2025-12-23T16:52:00Z</cp:lastPrinted>
  <dcterms:modified xsi:type="dcterms:W3CDTF">2025-12-24T14:07:22Z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2052-12.8.2.17863</vt:lpwstr>
  </property>
  <property fmtid="{D5CDD505-2E9C-101B-9397-08002B2CF9AE}" pid="3" name="ICV">
    <vt:lpwstr>FA34D96541CD46D5BC2635193EEB9E5B</vt:lpwstr>
  </property>
</Properties>
</file>